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71FA" w:rsidRDefault="005971FA" w:rsidP="00BD6CBB">
      <w:pPr>
        <w:spacing w:line="240" w:lineRule="auto"/>
        <w:jc w:val="center"/>
        <w:rPr>
          <w:rFonts w:ascii="Tahoma" w:hAnsi="Tahoma" w:cs="Tahoma"/>
          <w:b/>
          <w:sz w:val="32"/>
          <w:szCs w:val="32"/>
        </w:rPr>
      </w:pPr>
    </w:p>
    <w:p w:rsidR="005971FA" w:rsidRDefault="005971FA" w:rsidP="00BD6CBB">
      <w:pPr>
        <w:spacing w:line="240" w:lineRule="auto"/>
        <w:jc w:val="center"/>
        <w:rPr>
          <w:rFonts w:ascii="Tahoma" w:hAnsi="Tahoma" w:cs="Tahoma"/>
          <w:b/>
          <w:sz w:val="32"/>
          <w:szCs w:val="32"/>
        </w:rPr>
      </w:pPr>
      <w:r>
        <w:rPr>
          <w:rFonts w:ascii="Tahoma" w:hAnsi="Tahoma" w:cs="Tahoma"/>
          <w:b/>
          <w:sz w:val="32"/>
          <w:szCs w:val="32"/>
        </w:rPr>
        <w:t xml:space="preserve">Augmentation de l’indemnité REP+ </w:t>
      </w:r>
    </w:p>
    <w:p w:rsidR="005971FA" w:rsidRDefault="005971FA" w:rsidP="00BD6CBB">
      <w:pPr>
        <w:spacing w:line="240" w:lineRule="auto"/>
        <w:jc w:val="center"/>
        <w:rPr>
          <w:rFonts w:ascii="Tahoma" w:hAnsi="Tahoma" w:cs="Tahoma"/>
          <w:b/>
          <w:sz w:val="32"/>
          <w:szCs w:val="32"/>
        </w:rPr>
      </w:pPr>
      <w:r>
        <w:rPr>
          <w:rFonts w:ascii="Tahoma" w:hAnsi="Tahoma" w:cs="Tahoma"/>
          <w:b/>
          <w:sz w:val="32"/>
          <w:szCs w:val="32"/>
        </w:rPr>
        <w:t>et création d’une part modulable</w:t>
      </w:r>
    </w:p>
    <w:p w:rsidR="005971FA" w:rsidRDefault="005971FA" w:rsidP="00BD6CBB">
      <w:pPr>
        <w:spacing w:line="240" w:lineRule="auto"/>
        <w:jc w:val="center"/>
        <w:rPr>
          <w:rFonts w:ascii="Tahoma" w:hAnsi="Tahoma" w:cs="Tahoma"/>
          <w:b/>
          <w:sz w:val="32"/>
          <w:szCs w:val="32"/>
        </w:rPr>
      </w:pPr>
      <w:bookmarkStart w:id="0" w:name="_GoBack"/>
      <w:bookmarkEnd w:id="0"/>
      <w:r>
        <w:rPr>
          <w:rFonts w:ascii="Tahoma" w:hAnsi="Tahoma" w:cs="Tahoma"/>
          <w:b/>
          <w:sz w:val="32"/>
          <w:szCs w:val="32"/>
        </w:rPr>
        <w:t xml:space="preserve"> </w:t>
      </w:r>
    </w:p>
    <w:p w:rsidR="005971FA" w:rsidRDefault="005971FA">
      <w:pPr>
        <w:spacing w:line="240" w:lineRule="auto"/>
        <w:jc w:val="center"/>
        <w:rPr>
          <w:rFonts w:ascii="Tahoma" w:hAnsi="Tahoma" w:cs="Tahoma"/>
        </w:rPr>
      </w:pPr>
      <w:r>
        <w:rPr>
          <w:rFonts w:ascii="Tahoma" w:hAnsi="Tahoma" w:cs="Tahoma"/>
        </w:rPr>
        <w:t xml:space="preserve"> </w:t>
      </w:r>
    </w:p>
    <w:p w:rsidR="005971FA" w:rsidRPr="003855B9" w:rsidRDefault="005971FA" w:rsidP="003855B9">
      <w:pPr>
        <w:spacing w:line="240" w:lineRule="auto"/>
        <w:jc w:val="both"/>
        <w:rPr>
          <w:rFonts w:ascii="Tahoma" w:hAnsi="Tahoma" w:cs="Tahoma"/>
          <w:sz w:val="24"/>
          <w:szCs w:val="24"/>
          <w:highlight w:val="white"/>
        </w:rPr>
      </w:pPr>
      <w:r w:rsidRPr="003855B9">
        <w:rPr>
          <w:rFonts w:ascii="Tahoma" w:hAnsi="Tahoma" w:cs="Tahoma"/>
          <w:sz w:val="24"/>
          <w:szCs w:val="24"/>
          <w:highlight w:val="white"/>
          <w:u w:val="single"/>
        </w:rPr>
        <w:t>Textes de référence</w:t>
      </w:r>
      <w:r w:rsidRPr="003855B9">
        <w:rPr>
          <w:rFonts w:ascii="Tahoma" w:hAnsi="Tahoma" w:cs="Tahoma"/>
          <w:sz w:val="24"/>
          <w:szCs w:val="24"/>
          <w:highlight w:val="white"/>
        </w:rPr>
        <w:t xml:space="preserve">: </w:t>
      </w:r>
    </w:p>
    <w:bookmarkStart w:id="1" w:name="_yllcs283frpm" w:colFirst="0" w:colLast="0"/>
    <w:bookmarkEnd w:id="1"/>
    <w:p w:rsidR="005971FA" w:rsidRPr="003855B9" w:rsidRDefault="005971FA" w:rsidP="003855B9">
      <w:pPr>
        <w:pStyle w:val="Heading1"/>
        <w:keepNext w:val="0"/>
        <w:keepLines w:val="0"/>
        <w:numPr>
          <w:ilvl w:val="0"/>
          <w:numId w:val="3"/>
        </w:numPr>
        <w:shd w:val="clear" w:color="auto" w:fill="FFFFFF"/>
        <w:spacing w:before="0" w:after="0" w:line="300" w:lineRule="auto"/>
        <w:jc w:val="both"/>
        <w:rPr>
          <w:rFonts w:ascii="Tahoma" w:hAnsi="Tahoma" w:cs="Tahoma"/>
          <w:sz w:val="24"/>
          <w:szCs w:val="24"/>
        </w:rPr>
      </w:pPr>
      <w:r w:rsidRPr="003855B9">
        <w:rPr>
          <w:rFonts w:ascii="Tahoma" w:hAnsi="Tahoma" w:cs="Tahoma"/>
          <w:sz w:val="24"/>
          <w:szCs w:val="24"/>
        </w:rPr>
        <w:fldChar w:fldCharType="begin"/>
      </w:r>
      <w:r w:rsidRPr="003855B9">
        <w:rPr>
          <w:rFonts w:ascii="Tahoma" w:hAnsi="Tahoma" w:cs="Tahoma"/>
          <w:sz w:val="24"/>
          <w:szCs w:val="24"/>
        </w:rPr>
        <w:instrText xml:space="preserve"> HYPERLINK "https://www.legifrance.gouv.fr/loda/id/JORFTEXT000031113279/" \h </w:instrText>
      </w:r>
      <w:r w:rsidRPr="00AE47BB">
        <w:rPr>
          <w:rFonts w:ascii="Tahoma" w:hAnsi="Tahoma" w:cs="Tahoma"/>
          <w:sz w:val="24"/>
          <w:szCs w:val="24"/>
        </w:rPr>
      </w:r>
      <w:r w:rsidRPr="003855B9">
        <w:rPr>
          <w:rFonts w:ascii="Tahoma" w:hAnsi="Tahoma" w:cs="Tahoma"/>
          <w:sz w:val="24"/>
          <w:szCs w:val="24"/>
        </w:rPr>
        <w:fldChar w:fldCharType="separate"/>
      </w:r>
      <w:r w:rsidRPr="003855B9">
        <w:rPr>
          <w:rFonts w:ascii="Tahoma" w:hAnsi="Tahoma" w:cs="Tahoma"/>
          <w:color w:val="1155CC"/>
          <w:sz w:val="24"/>
          <w:szCs w:val="24"/>
          <w:u w:val="single"/>
        </w:rPr>
        <w:t>Décret n° 2015-1087 du 28 août 2015</w:t>
      </w:r>
      <w:r w:rsidRPr="003855B9">
        <w:rPr>
          <w:rFonts w:ascii="Tahoma" w:hAnsi="Tahoma" w:cs="Tahoma"/>
          <w:sz w:val="24"/>
          <w:szCs w:val="24"/>
        </w:rPr>
        <w:fldChar w:fldCharType="end"/>
      </w:r>
      <w:r w:rsidRPr="003855B9">
        <w:rPr>
          <w:rFonts w:ascii="Tahoma" w:hAnsi="Tahoma" w:cs="Tahoma"/>
          <w:color w:val="4A5E81"/>
          <w:sz w:val="24"/>
          <w:szCs w:val="24"/>
        </w:rPr>
        <w:t xml:space="preserve"> modifié par le </w:t>
      </w:r>
      <w:hyperlink r:id="rId5">
        <w:r w:rsidRPr="003855B9">
          <w:rPr>
            <w:rFonts w:ascii="Tahoma" w:hAnsi="Tahoma" w:cs="Tahoma"/>
            <w:color w:val="1155CC"/>
            <w:sz w:val="24"/>
            <w:szCs w:val="24"/>
            <w:u w:val="single"/>
          </w:rPr>
          <w:t>Décret 2021-825 du 28 juin 2021</w:t>
        </w:r>
      </w:hyperlink>
    </w:p>
    <w:p w:rsidR="005971FA" w:rsidRPr="003855B9" w:rsidRDefault="005971FA" w:rsidP="003855B9">
      <w:pPr>
        <w:numPr>
          <w:ilvl w:val="0"/>
          <w:numId w:val="3"/>
        </w:numPr>
        <w:spacing w:line="240" w:lineRule="auto"/>
        <w:jc w:val="both"/>
        <w:rPr>
          <w:rFonts w:ascii="Tahoma" w:hAnsi="Tahoma" w:cs="Tahoma"/>
          <w:sz w:val="24"/>
          <w:szCs w:val="24"/>
        </w:rPr>
      </w:pPr>
      <w:hyperlink r:id="rId6">
        <w:r w:rsidRPr="003855B9">
          <w:rPr>
            <w:rFonts w:ascii="Tahoma" w:hAnsi="Tahoma" w:cs="Tahoma"/>
            <w:color w:val="1155CC"/>
            <w:sz w:val="24"/>
            <w:szCs w:val="24"/>
            <w:u w:val="single"/>
          </w:rPr>
          <w:t>Arrêté du 28 août 2015</w:t>
        </w:r>
      </w:hyperlink>
      <w:r w:rsidRPr="003855B9">
        <w:rPr>
          <w:rFonts w:ascii="Tahoma" w:hAnsi="Tahoma" w:cs="Tahoma"/>
          <w:sz w:val="24"/>
          <w:szCs w:val="24"/>
        </w:rPr>
        <w:t xml:space="preserve"> modifié par l’</w:t>
      </w:r>
      <w:hyperlink r:id="rId7">
        <w:r w:rsidRPr="003855B9">
          <w:rPr>
            <w:rFonts w:ascii="Tahoma" w:hAnsi="Tahoma" w:cs="Tahoma"/>
            <w:color w:val="1155CC"/>
            <w:sz w:val="24"/>
            <w:szCs w:val="24"/>
            <w:u w:val="single"/>
          </w:rPr>
          <w:t>a</w:t>
        </w:r>
      </w:hyperlink>
      <w:hyperlink r:id="rId8">
        <w:r w:rsidRPr="003855B9">
          <w:rPr>
            <w:rFonts w:ascii="Tahoma" w:hAnsi="Tahoma" w:cs="Tahoma"/>
            <w:color w:val="1155CC"/>
            <w:sz w:val="24"/>
            <w:szCs w:val="24"/>
            <w:u w:val="single"/>
          </w:rPr>
          <w:t>rrêté du 28 juin 2021</w:t>
        </w:r>
      </w:hyperlink>
    </w:p>
    <w:p w:rsidR="005971FA" w:rsidRPr="003855B9" w:rsidRDefault="005971FA" w:rsidP="003855B9">
      <w:pPr>
        <w:numPr>
          <w:ilvl w:val="0"/>
          <w:numId w:val="3"/>
        </w:numPr>
        <w:spacing w:line="240" w:lineRule="auto"/>
        <w:jc w:val="both"/>
        <w:rPr>
          <w:rFonts w:ascii="Tahoma" w:hAnsi="Tahoma" w:cs="Tahoma"/>
          <w:sz w:val="24"/>
          <w:szCs w:val="24"/>
        </w:rPr>
      </w:pPr>
      <w:hyperlink r:id="rId9">
        <w:r w:rsidRPr="003855B9">
          <w:rPr>
            <w:rFonts w:ascii="Tahoma" w:hAnsi="Tahoma" w:cs="Tahoma"/>
            <w:color w:val="1155CC"/>
            <w:sz w:val="24"/>
            <w:szCs w:val="24"/>
            <w:u w:val="single"/>
          </w:rPr>
          <w:t>Circulaire du 30-6-2021 NOR : MENE2120129C</w:t>
        </w:r>
      </w:hyperlink>
    </w:p>
    <w:p w:rsidR="005971FA" w:rsidRPr="003855B9" w:rsidRDefault="005971FA" w:rsidP="003855B9">
      <w:pPr>
        <w:numPr>
          <w:ilvl w:val="0"/>
          <w:numId w:val="3"/>
        </w:numPr>
        <w:spacing w:line="240" w:lineRule="auto"/>
        <w:jc w:val="both"/>
        <w:rPr>
          <w:rFonts w:ascii="Tahoma" w:hAnsi="Tahoma" w:cs="Tahoma"/>
          <w:sz w:val="24"/>
          <w:szCs w:val="24"/>
        </w:rPr>
      </w:pPr>
      <w:hyperlink r:id="rId10">
        <w:r w:rsidRPr="003855B9">
          <w:rPr>
            <w:rFonts w:ascii="Tahoma" w:hAnsi="Tahoma" w:cs="Tahoma"/>
            <w:color w:val="1155CC"/>
            <w:sz w:val="24"/>
            <w:szCs w:val="24"/>
            <w:u w:val="single"/>
          </w:rPr>
          <w:t>BO n°26 du 1er juillet 2021</w:t>
        </w:r>
      </w:hyperlink>
    </w:p>
    <w:p w:rsidR="005971FA" w:rsidRPr="003855B9" w:rsidRDefault="005971FA" w:rsidP="003855B9">
      <w:pPr>
        <w:spacing w:line="240" w:lineRule="auto"/>
        <w:ind w:left="720"/>
        <w:jc w:val="both"/>
        <w:rPr>
          <w:rFonts w:ascii="Tahoma" w:hAnsi="Tahoma" w:cs="Tahoma"/>
          <w:sz w:val="24"/>
          <w:szCs w:val="24"/>
        </w:rPr>
      </w:pPr>
    </w:p>
    <w:p w:rsidR="005971FA" w:rsidRPr="003855B9" w:rsidRDefault="005971FA" w:rsidP="003855B9">
      <w:pPr>
        <w:spacing w:line="240" w:lineRule="auto"/>
        <w:ind w:left="720"/>
        <w:jc w:val="both"/>
        <w:rPr>
          <w:rFonts w:ascii="Tahoma" w:hAnsi="Tahoma" w:cs="Tahoma"/>
          <w:sz w:val="24"/>
          <w:szCs w:val="24"/>
        </w:rPr>
      </w:pP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sz w:val="24"/>
          <w:szCs w:val="24"/>
        </w:rPr>
        <w:t>Le décret sus-cité modifie l’article 1er du décret 2015-1097 en instaurant une part fixe et une part modulable de l’indemnité REP+. Il n’étend pas la liste des personnels actuellement éligibles. Quant au montant de l'indemnité REP, il demeure inchangé (1 734 € brut annuel).</w:t>
      </w:r>
    </w:p>
    <w:p w:rsidR="005971FA" w:rsidRPr="003855B9" w:rsidRDefault="005971FA" w:rsidP="003855B9">
      <w:pPr>
        <w:spacing w:line="240" w:lineRule="auto"/>
        <w:jc w:val="both"/>
        <w:rPr>
          <w:rFonts w:ascii="Tahoma" w:hAnsi="Tahoma" w:cs="Tahoma"/>
          <w:sz w:val="24"/>
          <w:szCs w:val="24"/>
        </w:rPr>
      </w:pP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b/>
          <w:sz w:val="24"/>
          <w:szCs w:val="24"/>
        </w:rPr>
        <w:t>1. Création d’une part modulable dans l’indemnité  REP+:</w:t>
      </w: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sz w:val="24"/>
          <w:szCs w:val="24"/>
        </w:rPr>
        <w:t xml:space="preserve">Une part modulable est instaurée. Elle est attribuée sur la base </w:t>
      </w:r>
      <w:r w:rsidRPr="003855B9">
        <w:rPr>
          <w:rFonts w:ascii="Tahoma" w:hAnsi="Tahoma" w:cs="Tahoma"/>
          <w:i/>
          <w:sz w:val="24"/>
          <w:szCs w:val="24"/>
        </w:rPr>
        <w:t>“d’objectifs collectifs d’engagement professionnel fixés au niveau national”</w:t>
      </w:r>
      <w:r w:rsidRPr="003855B9">
        <w:rPr>
          <w:rFonts w:ascii="Tahoma" w:hAnsi="Tahoma" w:cs="Tahoma"/>
          <w:sz w:val="24"/>
          <w:szCs w:val="24"/>
        </w:rPr>
        <w:t>. Pour les écoles, le recteur d’académie décide de son montant à l’issue de l’année scolaire, pour l’ensemble des agents éligibles d’une même école.</w:t>
      </w:r>
    </w:p>
    <w:p w:rsidR="005971FA" w:rsidRPr="003855B9" w:rsidRDefault="005971FA" w:rsidP="003855B9">
      <w:pPr>
        <w:spacing w:line="240" w:lineRule="auto"/>
        <w:jc w:val="both"/>
        <w:rPr>
          <w:rFonts w:ascii="Tahoma" w:hAnsi="Tahoma" w:cs="Tahoma"/>
          <w:sz w:val="24"/>
          <w:szCs w:val="24"/>
        </w:rPr>
      </w:pP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sz w:val="24"/>
          <w:szCs w:val="24"/>
        </w:rPr>
        <w:t>La part fixe est versée chaque mois, la part modulable à l’issue de l’année scolaire.</w:t>
      </w:r>
    </w:p>
    <w:p w:rsidR="005971FA" w:rsidRPr="003855B9" w:rsidRDefault="005971FA" w:rsidP="003855B9">
      <w:pPr>
        <w:spacing w:line="240" w:lineRule="auto"/>
        <w:jc w:val="both"/>
        <w:rPr>
          <w:rFonts w:ascii="Tahoma" w:hAnsi="Tahoma" w:cs="Tahoma"/>
          <w:sz w:val="24"/>
          <w:szCs w:val="24"/>
        </w:rPr>
      </w:pP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sz w:val="24"/>
          <w:szCs w:val="24"/>
        </w:rPr>
        <w:t>Afin de “respecter” la promesse électorale de 2017 avant les présidentielles de 2022, à titre dérogatoire et pour l'année scolaire 2021-2022, les indicateurs d’engagement professionnel seront évalués du 1er juillet au 31 décembre 2021 et la part modulable sera versée à l’issue de cette période.</w:t>
      </w:r>
    </w:p>
    <w:p w:rsidR="005971FA" w:rsidRPr="003855B9" w:rsidRDefault="005971FA" w:rsidP="003855B9">
      <w:pPr>
        <w:spacing w:line="240" w:lineRule="auto"/>
        <w:jc w:val="both"/>
        <w:rPr>
          <w:rFonts w:ascii="Tahoma" w:hAnsi="Tahoma" w:cs="Tahoma"/>
          <w:sz w:val="24"/>
          <w:szCs w:val="24"/>
        </w:rPr>
      </w:pP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b/>
          <w:sz w:val="24"/>
          <w:szCs w:val="24"/>
        </w:rPr>
        <w:t>2 Montant de l’Indemnité REP+</w:t>
      </w: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sz w:val="24"/>
          <w:szCs w:val="24"/>
        </w:rPr>
        <w:t>L’arrêté sus-cité précise les montants des différentes parts de l’indemnité REP+ à compter du 1er septembre 2021:</w:t>
      </w:r>
    </w:p>
    <w:p w:rsidR="005971FA" w:rsidRPr="003855B9" w:rsidRDefault="005971FA" w:rsidP="003855B9">
      <w:pPr>
        <w:numPr>
          <w:ilvl w:val="0"/>
          <w:numId w:val="2"/>
        </w:numPr>
        <w:spacing w:line="240" w:lineRule="auto"/>
        <w:jc w:val="both"/>
        <w:rPr>
          <w:rFonts w:ascii="Tahoma" w:hAnsi="Tahoma" w:cs="Tahoma"/>
          <w:sz w:val="24"/>
          <w:szCs w:val="24"/>
        </w:rPr>
      </w:pPr>
      <w:r>
        <w:rPr>
          <w:rFonts w:ascii="Tahoma" w:hAnsi="Tahoma" w:cs="Tahoma"/>
          <w:sz w:val="24"/>
          <w:szCs w:val="24"/>
        </w:rPr>
        <w:t xml:space="preserve">La part fixe passe de 4 646€ </w:t>
      </w:r>
      <w:r w:rsidRPr="003855B9">
        <w:rPr>
          <w:rFonts w:ascii="Tahoma" w:hAnsi="Tahoma" w:cs="Tahoma"/>
          <w:sz w:val="24"/>
          <w:szCs w:val="24"/>
        </w:rPr>
        <w:t>à</w:t>
      </w:r>
      <w:r w:rsidRPr="003855B9">
        <w:rPr>
          <w:rFonts w:ascii="Tahoma" w:hAnsi="Tahoma" w:cs="Tahoma"/>
          <w:b/>
          <w:sz w:val="24"/>
          <w:szCs w:val="24"/>
        </w:rPr>
        <w:t xml:space="preserve"> 5 114€</w:t>
      </w:r>
      <w:r w:rsidRPr="003855B9">
        <w:rPr>
          <w:rFonts w:ascii="Tahoma" w:hAnsi="Tahoma" w:cs="Tahoma"/>
          <w:sz w:val="24"/>
          <w:szCs w:val="24"/>
        </w:rPr>
        <w:t xml:space="preserve"> brut annuels.</w:t>
      </w:r>
    </w:p>
    <w:p w:rsidR="005971FA" w:rsidRPr="003855B9" w:rsidRDefault="005971FA" w:rsidP="003855B9">
      <w:pPr>
        <w:numPr>
          <w:ilvl w:val="0"/>
          <w:numId w:val="2"/>
        </w:numPr>
        <w:spacing w:line="240" w:lineRule="auto"/>
        <w:jc w:val="both"/>
        <w:rPr>
          <w:rFonts w:ascii="Tahoma" w:hAnsi="Tahoma" w:cs="Tahoma"/>
          <w:sz w:val="24"/>
          <w:szCs w:val="24"/>
        </w:rPr>
      </w:pPr>
      <w:r w:rsidRPr="003855B9">
        <w:rPr>
          <w:rFonts w:ascii="Tahoma" w:hAnsi="Tahoma" w:cs="Tahoma"/>
          <w:sz w:val="24"/>
          <w:szCs w:val="24"/>
        </w:rPr>
        <w:t>La part modulable ne peut dépasser</w:t>
      </w:r>
      <w:r w:rsidRPr="003855B9">
        <w:rPr>
          <w:rFonts w:ascii="Tahoma" w:hAnsi="Tahoma" w:cs="Tahoma"/>
          <w:b/>
          <w:sz w:val="24"/>
          <w:szCs w:val="24"/>
        </w:rPr>
        <w:t xml:space="preserve"> 702€</w:t>
      </w:r>
      <w:r w:rsidRPr="003855B9">
        <w:rPr>
          <w:rFonts w:ascii="Tahoma" w:hAnsi="Tahoma" w:cs="Tahoma"/>
          <w:sz w:val="24"/>
          <w:szCs w:val="24"/>
        </w:rPr>
        <w:t xml:space="preserve"> brut annuels.</w:t>
      </w:r>
    </w:p>
    <w:p w:rsidR="005971FA" w:rsidRPr="003855B9" w:rsidRDefault="005971FA" w:rsidP="003855B9">
      <w:pPr>
        <w:spacing w:line="240" w:lineRule="auto"/>
        <w:jc w:val="both"/>
        <w:rPr>
          <w:rFonts w:ascii="Tahoma" w:hAnsi="Tahoma" w:cs="Tahoma"/>
          <w:sz w:val="24"/>
          <w:szCs w:val="24"/>
        </w:rPr>
      </w:pP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sz w:val="24"/>
          <w:szCs w:val="24"/>
        </w:rPr>
        <w:t>Même si le versement de la part modulable devrait suivre celui de la part fixe, les règles d’attribution (durant une période de remplacement, pour les personnels à temps partiel, …) ainsi que les différents montants de la part variable devraient être précisées dans une circulaire et une note DAF à venir. Le secteur actualisera cette circulaire dès parution de celles-ci.</w:t>
      </w:r>
    </w:p>
    <w:p w:rsidR="005971FA" w:rsidRPr="003855B9" w:rsidRDefault="005971FA" w:rsidP="003855B9">
      <w:pPr>
        <w:spacing w:line="240" w:lineRule="auto"/>
        <w:jc w:val="both"/>
        <w:rPr>
          <w:rFonts w:ascii="Tahoma" w:hAnsi="Tahoma" w:cs="Tahoma"/>
          <w:sz w:val="24"/>
          <w:szCs w:val="24"/>
        </w:rPr>
      </w:pPr>
    </w:p>
    <w:p w:rsidR="005971FA" w:rsidRPr="003855B9" w:rsidRDefault="005971FA" w:rsidP="003855B9">
      <w:pPr>
        <w:spacing w:line="240" w:lineRule="auto"/>
        <w:jc w:val="both"/>
        <w:rPr>
          <w:rFonts w:ascii="Tahoma" w:hAnsi="Tahoma" w:cs="Tahoma"/>
          <w:b/>
          <w:sz w:val="24"/>
          <w:szCs w:val="24"/>
        </w:rPr>
      </w:pPr>
      <w:r w:rsidRPr="003855B9">
        <w:rPr>
          <w:rFonts w:ascii="Tahoma" w:hAnsi="Tahoma" w:cs="Tahoma"/>
          <w:b/>
          <w:sz w:val="24"/>
          <w:szCs w:val="24"/>
        </w:rPr>
        <w:t>3. Personnels concernés</w:t>
      </w: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sz w:val="24"/>
          <w:szCs w:val="24"/>
        </w:rPr>
        <w:t>Personnels de direction, enseignants, administratifs et techniques, psychologues de l'éducation nationale de la spécialité éducation, développement et apprentissages, conseillers principaux d'éducation, personnels sociaux et de santé relevant de l'article 1er du décret n° 2015-1087 du 28 août 2015. Dans ces conditions, les AESH ne sont toujours pas concernés par cette indemnité que ce soit pour la part fixe ou pour la part modulable.</w:t>
      </w:r>
    </w:p>
    <w:p w:rsidR="005971FA" w:rsidRPr="003855B9" w:rsidRDefault="005971FA" w:rsidP="003855B9">
      <w:pPr>
        <w:spacing w:line="240" w:lineRule="auto"/>
        <w:jc w:val="both"/>
        <w:rPr>
          <w:rFonts w:ascii="Tahoma" w:hAnsi="Tahoma" w:cs="Tahoma"/>
          <w:color w:val="BF9000"/>
          <w:sz w:val="24"/>
          <w:szCs w:val="24"/>
        </w:rPr>
      </w:pPr>
    </w:p>
    <w:p w:rsidR="005971FA" w:rsidRPr="003855B9" w:rsidRDefault="005971FA" w:rsidP="003855B9">
      <w:pPr>
        <w:spacing w:line="240" w:lineRule="auto"/>
        <w:jc w:val="both"/>
        <w:rPr>
          <w:rFonts w:ascii="Tahoma" w:hAnsi="Tahoma" w:cs="Tahoma"/>
          <w:b/>
          <w:sz w:val="24"/>
          <w:szCs w:val="24"/>
        </w:rPr>
      </w:pPr>
      <w:r w:rsidRPr="003855B9">
        <w:rPr>
          <w:rFonts w:ascii="Tahoma" w:hAnsi="Tahoma" w:cs="Tahoma"/>
          <w:b/>
          <w:sz w:val="24"/>
          <w:szCs w:val="24"/>
        </w:rPr>
        <w:t>4. La part modulable</w:t>
      </w: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sz w:val="24"/>
          <w:szCs w:val="24"/>
        </w:rPr>
        <w:t>La circulaire parue au BO définit la ventilation et les montants de cette part modulable dans le cadre d’une répartition prédéterminée :</w:t>
      </w:r>
    </w:p>
    <w:p w:rsidR="005971FA" w:rsidRPr="003855B9" w:rsidRDefault="005971FA" w:rsidP="003855B9">
      <w:pPr>
        <w:numPr>
          <w:ilvl w:val="0"/>
          <w:numId w:val="1"/>
        </w:numPr>
        <w:spacing w:line="240" w:lineRule="auto"/>
        <w:jc w:val="both"/>
        <w:rPr>
          <w:rFonts w:ascii="Tahoma" w:hAnsi="Tahoma" w:cs="Tahoma"/>
          <w:sz w:val="24"/>
          <w:szCs w:val="24"/>
        </w:rPr>
      </w:pPr>
      <w:r w:rsidRPr="003855B9">
        <w:rPr>
          <w:rFonts w:ascii="Tahoma" w:hAnsi="Tahoma" w:cs="Tahoma"/>
          <w:sz w:val="24"/>
          <w:szCs w:val="24"/>
        </w:rPr>
        <w:t>25% des agents concernés d’une académie recevront 600€ net (702€ brut)</w:t>
      </w:r>
    </w:p>
    <w:p w:rsidR="005971FA" w:rsidRPr="003855B9" w:rsidRDefault="005971FA" w:rsidP="003855B9">
      <w:pPr>
        <w:numPr>
          <w:ilvl w:val="0"/>
          <w:numId w:val="1"/>
        </w:numPr>
        <w:spacing w:line="240" w:lineRule="auto"/>
        <w:jc w:val="both"/>
        <w:rPr>
          <w:rFonts w:ascii="Tahoma" w:hAnsi="Tahoma" w:cs="Tahoma"/>
          <w:sz w:val="24"/>
          <w:szCs w:val="24"/>
        </w:rPr>
      </w:pPr>
      <w:r w:rsidRPr="003855B9">
        <w:rPr>
          <w:rFonts w:ascii="Tahoma" w:hAnsi="Tahoma" w:cs="Tahoma"/>
          <w:sz w:val="24"/>
          <w:szCs w:val="24"/>
        </w:rPr>
        <w:t>50% recevront 300€ net (421€ brut)</w:t>
      </w:r>
    </w:p>
    <w:p w:rsidR="005971FA" w:rsidRPr="003855B9" w:rsidRDefault="005971FA" w:rsidP="003855B9">
      <w:pPr>
        <w:numPr>
          <w:ilvl w:val="0"/>
          <w:numId w:val="1"/>
        </w:numPr>
        <w:spacing w:line="240" w:lineRule="auto"/>
        <w:jc w:val="both"/>
        <w:rPr>
          <w:rFonts w:ascii="Tahoma" w:hAnsi="Tahoma" w:cs="Tahoma"/>
          <w:sz w:val="24"/>
          <w:szCs w:val="24"/>
        </w:rPr>
      </w:pPr>
      <w:r w:rsidRPr="003855B9">
        <w:rPr>
          <w:rFonts w:ascii="Tahoma" w:hAnsi="Tahoma" w:cs="Tahoma"/>
          <w:sz w:val="24"/>
          <w:szCs w:val="24"/>
        </w:rPr>
        <w:t>25% recevront 200€ net (234€ brut)</w:t>
      </w:r>
    </w:p>
    <w:p w:rsidR="005971FA" w:rsidRPr="003855B9" w:rsidRDefault="005971FA" w:rsidP="003855B9">
      <w:pPr>
        <w:spacing w:line="240" w:lineRule="auto"/>
        <w:jc w:val="both"/>
        <w:rPr>
          <w:rFonts w:ascii="Tahoma" w:hAnsi="Tahoma" w:cs="Tahoma"/>
          <w:sz w:val="24"/>
          <w:szCs w:val="24"/>
        </w:rPr>
      </w:pPr>
    </w:p>
    <w:p w:rsidR="005971FA" w:rsidRPr="003855B9" w:rsidRDefault="005971FA" w:rsidP="003855B9">
      <w:pPr>
        <w:spacing w:line="240" w:lineRule="auto"/>
        <w:jc w:val="both"/>
        <w:rPr>
          <w:rFonts w:ascii="Tahoma" w:hAnsi="Tahoma" w:cs="Tahoma"/>
          <w:strike/>
          <w:color w:val="BF9000"/>
          <w:sz w:val="24"/>
          <w:szCs w:val="24"/>
        </w:rPr>
      </w:pPr>
      <w:r w:rsidRPr="003855B9">
        <w:rPr>
          <w:rFonts w:ascii="Tahoma" w:hAnsi="Tahoma" w:cs="Tahoma"/>
          <w:sz w:val="24"/>
          <w:szCs w:val="24"/>
        </w:rPr>
        <w:t>Le montant de la part modulable est fixé par école et par établissement. Il est identique pour tous les bénéficiaires d’un même établissement.</w:t>
      </w:r>
    </w:p>
    <w:p w:rsidR="005971FA" w:rsidRPr="003855B9" w:rsidRDefault="005971FA" w:rsidP="003855B9">
      <w:pPr>
        <w:spacing w:line="240" w:lineRule="auto"/>
        <w:jc w:val="both"/>
        <w:rPr>
          <w:rFonts w:ascii="Tahoma" w:hAnsi="Tahoma" w:cs="Tahoma"/>
          <w:sz w:val="24"/>
          <w:szCs w:val="24"/>
        </w:rPr>
      </w:pPr>
    </w:p>
    <w:p w:rsidR="005971FA" w:rsidRPr="003855B9" w:rsidRDefault="005971FA" w:rsidP="003855B9">
      <w:pPr>
        <w:spacing w:line="240" w:lineRule="auto"/>
        <w:jc w:val="both"/>
        <w:rPr>
          <w:rFonts w:ascii="Tahoma" w:hAnsi="Tahoma" w:cs="Tahoma"/>
          <w:b/>
          <w:sz w:val="24"/>
          <w:szCs w:val="24"/>
        </w:rPr>
      </w:pPr>
      <w:r w:rsidRPr="003855B9">
        <w:rPr>
          <w:rFonts w:ascii="Tahoma" w:hAnsi="Tahoma" w:cs="Tahoma"/>
          <w:b/>
          <w:sz w:val="24"/>
          <w:szCs w:val="24"/>
        </w:rPr>
        <w:t>5. Critères d’évaluation de l’engagement collectif des équipes</w:t>
      </w:r>
    </w:p>
    <w:p w:rsidR="005971FA" w:rsidRPr="003855B9" w:rsidRDefault="005971FA" w:rsidP="003855B9">
      <w:pPr>
        <w:spacing w:line="240" w:lineRule="auto"/>
        <w:jc w:val="both"/>
        <w:rPr>
          <w:rFonts w:ascii="Tahoma" w:hAnsi="Tahoma" w:cs="Tahoma"/>
          <w:sz w:val="24"/>
          <w:szCs w:val="24"/>
        </w:rPr>
      </w:pPr>
      <w:r w:rsidRPr="003855B9">
        <w:rPr>
          <w:rFonts w:ascii="Tahoma" w:hAnsi="Tahoma" w:cs="Tahoma"/>
          <w:sz w:val="24"/>
          <w:szCs w:val="24"/>
        </w:rPr>
        <w:t>Le BO décrit quels sont les objectifs qui servent à l’évaluation de l’engagement collectif des équipes:</w:t>
      </w:r>
    </w:p>
    <w:p w:rsidR="005971FA" w:rsidRPr="003855B9" w:rsidRDefault="005971FA" w:rsidP="003855B9">
      <w:pPr>
        <w:spacing w:line="240" w:lineRule="auto"/>
        <w:jc w:val="both"/>
        <w:rPr>
          <w:rFonts w:ascii="Tahoma" w:hAnsi="Tahoma" w:cs="Tahoma"/>
          <w:sz w:val="24"/>
          <w:szCs w:val="24"/>
        </w:rPr>
      </w:pP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50"/>
        <w:gridCol w:w="7920"/>
      </w:tblGrid>
      <w:tr w:rsidR="005971FA" w:rsidRPr="003855B9" w:rsidTr="001E7D22">
        <w:tc>
          <w:tcPr>
            <w:tcW w:w="2850" w:type="dxa"/>
            <w:tcMar>
              <w:top w:w="100" w:type="dxa"/>
              <w:left w:w="100" w:type="dxa"/>
              <w:bottom w:w="100" w:type="dxa"/>
              <w:right w:w="100" w:type="dxa"/>
            </w:tcMar>
          </w:tcPr>
          <w:p w:rsidR="005971FA" w:rsidRPr="001E7D22" w:rsidRDefault="005971FA" w:rsidP="001E7D22">
            <w:pPr>
              <w:spacing w:line="240" w:lineRule="auto"/>
              <w:jc w:val="both"/>
              <w:rPr>
                <w:rFonts w:ascii="Tahoma" w:hAnsi="Tahoma" w:cs="Tahoma"/>
                <w:sz w:val="24"/>
                <w:szCs w:val="24"/>
              </w:rPr>
            </w:pPr>
            <w:r w:rsidRPr="001E7D22">
              <w:rPr>
                <w:rFonts w:ascii="Tahoma" w:hAnsi="Tahoma" w:cs="Tahoma"/>
                <w:b/>
                <w:sz w:val="24"/>
                <w:szCs w:val="24"/>
              </w:rPr>
              <w:t>Objectifs</w:t>
            </w:r>
          </w:p>
        </w:tc>
        <w:tc>
          <w:tcPr>
            <w:tcW w:w="7920" w:type="dxa"/>
            <w:tcMar>
              <w:top w:w="100" w:type="dxa"/>
              <w:left w:w="100" w:type="dxa"/>
              <w:bottom w:w="100" w:type="dxa"/>
              <w:right w:w="100" w:type="dxa"/>
            </w:tcMar>
          </w:tcPr>
          <w:p w:rsidR="005971FA" w:rsidRPr="001E7D22" w:rsidRDefault="005971FA" w:rsidP="001E7D22">
            <w:pPr>
              <w:spacing w:line="240" w:lineRule="auto"/>
              <w:jc w:val="both"/>
              <w:rPr>
                <w:rFonts w:ascii="Tahoma" w:hAnsi="Tahoma" w:cs="Tahoma"/>
                <w:sz w:val="24"/>
                <w:szCs w:val="24"/>
              </w:rPr>
            </w:pPr>
            <w:r w:rsidRPr="001E7D22">
              <w:rPr>
                <w:rFonts w:ascii="Tahoma" w:hAnsi="Tahoma" w:cs="Tahoma"/>
                <w:b/>
                <w:sz w:val="24"/>
                <w:szCs w:val="24"/>
              </w:rPr>
              <w:t>Leviers</w:t>
            </w:r>
          </w:p>
        </w:tc>
      </w:tr>
      <w:tr w:rsidR="005971FA" w:rsidRPr="003855B9" w:rsidTr="001E7D22">
        <w:tc>
          <w:tcPr>
            <w:tcW w:w="2850" w:type="dxa"/>
            <w:tcMar>
              <w:top w:w="100" w:type="dxa"/>
              <w:left w:w="100" w:type="dxa"/>
              <w:bottom w:w="100" w:type="dxa"/>
              <w:right w:w="100" w:type="dxa"/>
            </w:tcMar>
          </w:tcPr>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1. Amélioration de la qualité du climat scolaire</w:t>
            </w:r>
          </w:p>
        </w:tc>
        <w:tc>
          <w:tcPr>
            <w:tcW w:w="7920" w:type="dxa"/>
            <w:tcMar>
              <w:top w:w="100" w:type="dxa"/>
              <w:left w:w="100" w:type="dxa"/>
              <w:bottom w:w="100" w:type="dxa"/>
              <w:right w:w="100" w:type="dxa"/>
            </w:tcMar>
          </w:tcPr>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Diagnostics et plans d'action</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Formalisation de règles de vie pour le vivre-ensemble</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Prévention et traitement des discriminations et du harcèlement</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Prévention et traitement de la violence</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Initiatives prises pour réagir aux violences et incivilités, manquements à la discipline et au respect de l'autorité</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Suivi de l'absentéisme et actions déployées</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Prévention du décrochage et actions déployées</w:t>
            </w:r>
          </w:p>
        </w:tc>
      </w:tr>
      <w:tr w:rsidR="005971FA" w:rsidRPr="003855B9" w:rsidTr="001E7D22">
        <w:tc>
          <w:tcPr>
            <w:tcW w:w="2850" w:type="dxa"/>
            <w:tcMar>
              <w:top w:w="100" w:type="dxa"/>
              <w:left w:w="100" w:type="dxa"/>
              <w:bottom w:w="100" w:type="dxa"/>
              <w:right w:w="100" w:type="dxa"/>
            </w:tcMar>
          </w:tcPr>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2. Déploiement des dispositifs d'égalité des chances, d'alliances éducatives et de soutien à la parentalité</w:t>
            </w:r>
          </w:p>
        </w:tc>
        <w:tc>
          <w:tcPr>
            <w:tcW w:w="7920" w:type="dxa"/>
            <w:tcMar>
              <w:top w:w="100" w:type="dxa"/>
              <w:left w:w="100" w:type="dxa"/>
              <w:bottom w:w="100" w:type="dxa"/>
              <w:right w:w="100" w:type="dxa"/>
            </w:tcMar>
          </w:tcPr>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Accompagnement individualisé des élèves et continuité pédagogique</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Organisation de réunions régulières et rencontres individuelles afin de permettre aux familles d'échanger avec les professeurs</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Instauration de liens, de collaborations et de projets avec les associations péri-éducatives et les collectivités territoriales</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Construction de coopérations en lien avec la politique de la ville, les institutions au niveau local, départemental et académique</w:t>
            </w:r>
          </w:p>
        </w:tc>
      </w:tr>
      <w:tr w:rsidR="005971FA" w:rsidRPr="003855B9" w:rsidTr="001E7D22">
        <w:tc>
          <w:tcPr>
            <w:tcW w:w="2850" w:type="dxa"/>
            <w:tcMar>
              <w:top w:w="100" w:type="dxa"/>
              <w:left w:w="100" w:type="dxa"/>
              <w:bottom w:w="100" w:type="dxa"/>
              <w:right w:w="100" w:type="dxa"/>
            </w:tcMar>
          </w:tcPr>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3. Mise en œuvre des temps collectifs de formation et de concertation</w:t>
            </w:r>
          </w:p>
        </w:tc>
        <w:tc>
          <w:tcPr>
            <w:tcW w:w="7920" w:type="dxa"/>
            <w:tcMar>
              <w:top w:w="100" w:type="dxa"/>
              <w:left w:w="100" w:type="dxa"/>
              <w:bottom w:w="100" w:type="dxa"/>
              <w:right w:w="100" w:type="dxa"/>
            </w:tcMar>
          </w:tcPr>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Plan de formation du réseau d'éducation prioritaire/de l'école/du collège</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Animation et/ou participation aux conseils de cycle 3 et conseils école-collège</w:t>
            </w:r>
          </w:p>
          <w:p w:rsidR="005971FA" w:rsidRPr="001E7D22" w:rsidRDefault="005971FA" w:rsidP="001E7D22">
            <w:pPr>
              <w:spacing w:line="240" w:lineRule="auto"/>
              <w:jc w:val="both"/>
              <w:rPr>
                <w:rFonts w:ascii="Tahoma" w:hAnsi="Tahoma" w:cs="Tahoma"/>
                <w:sz w:val="24"/>
                <w:szCs w:val="24"/>
              </w:rPr>
            </w:pPr>
            <w:r w:rsidRPr="001E7D22">
              <w:rPr>
                <w:rFonts w:ascii="Tahoma" w:hAnsi="Tahoma" w:cs="Tahoma"/>
                <w:sz w:val="24"/>
                <w:szCs w:val="24"/>
              </w:rPr>
              <w:t>- Organisation de rencontres inter-degré</w:t>
            </w:r>
          </w:p>
        </w:tc>
      </w:tr>
    </w:tbl>
    <w:p w:rsidR="005971FA" w:rsidRPr="003855B9" w:rsidRDefault="005971FA" w:rsidP="003855B9">
      <w:pPr>
        <w:spacing w:line="240" w:lineRule="auto"/>
        <w:jc w:val="both"/>
        <w:rPr>
          <w:rFonts w:ascii="Tahoma" w:hAnsi="Tahoma" w:cs="Tahoma"/>
          <w:sz w:val="24"/>
          <w:szCs w:val="24"/>
        </w:rPr>
      </w:pPr>
    </w:p>
    <w:p w:rsidR="005971FA" w:rsidRDefault="005971FA">
      <w:pPr>
        <w:spacing w:line="240" w:lineRule="auto"/>
        <w:jc w:val="right"/>
        <w:rPr>
          <w:color w:val="CC0000"/>
        </w:rPr>
      </w:pPr>
      <w:r w:rsidRPr="003855B9">
        <w:rPr>
          <w:rFonts w:ascii="Tahoma" w:hAnsi="Tahoma" w:cs="Tahoma"/>
          <w:sz w:val="24"/>
          <w:szCs w:val="24"/>
        </w:rPr>
        <w:t>Par délégation du recteur d’académie, c’est le DASEN qui apprécie le niveau d’engagement des équipes après avis de l’IEN de circonscription.</w:t>
      </w:r>
    </w:p>
    <w:sectPr w:rsidR="005971FA" w:rsidSect="00B96387">
      <w:pgSz w:w="11906" w:h="16838"/>
      <w:pgMar w:top="566" w:right="566" w:bottom="566" w:left="56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6B8"/>
    <w:multiLevelType w:val="multilevel"/>
    <w:tmpl w:val="2912E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5D6534"/>
    <w:multiLevelType w:val="multilevel"/>
    <w:tmpl w:val="B24C8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405558"/>
    <w:multiLevelType w:val="multilevel"/>
    <w:tmpl w:val="B3CE8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555"/>
    <w:rsid w:val="000D490D"/>
    <w:rsid w:val="000F7555"/>
    <w:rsid w:val="0018212A"/>
    <w:rsid w:val="001E7D22"/>
    <w:rsid w:val="0028056D"/>
    <w:rsid w:val="002D575D"/>
    <w:rsid w:val="003855B9"/>
    <w:rsid w:val="005971FA"/>
    <w:rsid w:val="00604FD6"/>
    <w:rsid w:val="008B6C54"/>
    <w:rsid w:val="009045C3"/>
    <w:rsid w:val="00AE47BB"/>
    <w:rsid w:val="00B96387"/>
    <w:rsid w:val="00BD6CBB"/>
    <w:rsid w:val="00C35F7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87"/>
    <w:pPr>
      <w:spacing w:line="276" w:lineRule="auto"/>
    </w:pPr>
    <w:rPr>
      <w:lang/>
    </w:rPr>
  </w:style>
  <w:style w:type="paragraph" w:styleId="Heading1">
    <w:name w:val="heading 1"/>
    <w:basedOn w:val="Normal"/>
    <w:next w:val="Normal"/>
    <w:link w:val="Heading1Char"/>
    <w:uiPriority w:val="99"/>
    <w:qFormat/>
    <w:rsid w:val="00B96387"/>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B96387"/>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B96387"/>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B96387"/>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B96387"/>
    <w:pPr>
      <w:keepNext/>
      <w:keepLines/>
      <w:spacing w:before="240" w:after="80"/>
      <w:outlineLvl w:val="4"/>
    </w:pPr>
    <w:rPr>
      <w:color w:val="666666"/>
    </w:rPr>
  </w:style>
  <w:style w:type="paragraph" w:styleId="Heading6">
    <w:name w:val="heading 6"/>
    <w:basedOn w:val="Normal"/>
    <w:next w:val="Normal"/>
    <w:link w:val="Heading6Char"/>
    <w:uiPriority w:val="99"/>
    <w:qFormat/>
    <w:rsid w:val="00B96387"/>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9E5"/>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2F59E5"/>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2F59E5"/>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2F59E5"/>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2F59E5"/>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2F59E5"/>
    <w:rPr>
      <w:rFonts w:asciiTheme="minorHAnsi" w:eastAsiaTheme="minorEastAsia" w:hAnsiTheme="minorHAnsi" w:cstheme="minorBidi"/>
      <w:b/>
      <w:bCs/>
      <w:lang/>
    </w:rPr>
  </w:style>
  <w:style w:type="table" w:customStyle="1" w:styleId="TableNormal1">
    <w:name w:val="Table Normal1"/>
    <w:uiPriority w:val="99"/>
    <w:rsid w:val="00B96387"/>
    <w:pPr>
      <w:spacing w:line="276" w:lineRule="auto"/>
    </w:pPr>
    <w:rPr>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B96387"/>
    <w:pPr>
      <w:keepNext/>
      <w:keepLines/>
      <w:spacing w:after="60"/>
    </w:pPr>
    <w:rPr>
      <w:sz w:val="52"/>
      <w:szCs w:val="52"/>
    </w:rPr>
  </w:style>
  <w:style w:type="character" w:customStyle="1" w:styleId="TitleChar">
    <w:name w:val="Title Char"/>
    <w:basedOn w:val="DefaultParagraphFont"/>
    <w:link w:val="Title"/>
    <w:uiPriority w:val="10"/>
    <w:rsid w:val="002F59E5"/>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B96387"/>
    <w:pPr>
      <w:keepNext/>
      <w:keepLines/>
      <w:spacing w:after="320"/>
    </w:pPr>
    <w:rPr>
      <w:color w:val="666666"/>
      <w:sz w:val="30"/>
      <w:szCs w:val="30"/>
    </w:rPr>
  </w:style>
  <w:style w:type="character" w:customStyle="1" w:styleId="SubtitleChar">
    <w:name w:val="Subtitle Char"/>
    <w:basedOn w:val="DefaultParagraphFont"/>
    <w:link w:val="Subtitle"/>
    <w:uiPriority w:val="11"/>
    <w:rsid w:val="002F59E5"/>
    <w:rPr>
      <w:rFonts w:asciiTheme="majorHAnsi" w:eastAsiaTheme="majorEastAsia" w:hAnsiTheme="majorHAnsi" w:cstheme="majorBidi"/>
      <w:sz w:val="24"/>
      <w:szCs w:val="24"/>
      <w:lang/>
    </w:rPr>
  </w:style>
  <w:style w:type="table" w:customStyle="1" w:styleId="Style">
    <w:name w:val="Style"/>
    <w:basedOn w:val="TableNormal1"/>
    <w:uiPriority w:val="99"/>
    <w:rsid w:val="00B96387"/>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711806" TargetMode="External"/><Relationship Id="rId3" Type="http://schemas.openxmlformats.org/officeDocument/2006/relationships/settings" Target="settings.xml"/><Relationship Id="rId7" Type="http://schemas.openxmlformats.org/officeDocument/2006/relationships/hyperlink" Target="https://www.legifrance.gouv.fr/jorf/id/JORFTEXT0000437118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loda/id/JORFTEXT000031113410/2021-07-02/" TargetMode="External"/><Relationship Id="rId11" Type="http://schemas.openxmlformats.org/officeDocument/2006/relationships/fontTable" Target="fontTable.xml"/><Relationship Id="rId5" Type="http://schemas.openxmlformats.org/officeDocument/2006/relationships/hyperlink" Target="https://www.legifrance.gouv.fr/jorf/id/JORFTEXT000043711782" TargetMode="External"/><Relationship Id="rId10" Type="http://schemas.openxmlformats.org/officeDocument/2006/relationships/hyperlink" Target="https://www.education.gouv.fr/bo/21/Hebdo26/MENE2120129C.htm" TargetMode="External"/><Relationship Id="rId4" Type="http://schemas.openxmlformats.org/officeDocument/2006/relationships/webSettings" Target="webSettings.xml"/><Relationship Id="rId9" Type="http://schemas.openxmlformats.org/officeDocument/2006/relationships/hyperlink" Target="https://www.education.gouv.fr/bo/21/Hebdo26/MENE2120129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775</Words>
  <Characters>4263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Augmentation de l’indemnité REP+ </dc:title>
  <dc:subject/>
  <dc:creator>andré hazebroucq</dc:creator>
  <cp:keywords/>
  <dc:description/>
  <cp:lastModifiedBy>SNUipp-FSU 38</cp:lastModifiedBy>
  <cp:revision>3</cp:revision>
  <dcterms:created xsi:type="dcterms:W3CDTF">2021-07-08T10:15:00Z</dcterms:created>
  <dcterms:modified xsi:type="dcterms:W3CDTF">2021-07-08T10:16:00Z</dcterms:modified>
</cp:coreProperties>
</file>