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04E" w:rsidRPr="005D5147" w:rsidRDefault="002E104E">
      <w:pPr>
        <w:pStyle w:val="Normal1"/>
        <w:spacing w:line="240" w:lineRule="auto"/>
        <w:jc w:val="right"/>
        <w:rPr>
          <w:rFonts w:ascii="Tahoma" w:hAnsi="Tahoma" w:cs="Tahoma"/>
          <w:b/>
          <w:sz w:val="28"/>
          <w:szCs w:val="32"/>
        </w:rPr>
      </w:pPr>
      <w:r w:rsidRPr="005D5147">
        <w:rPr>
          <w:rFonts w:ascii="Tahoma" w:hAnsi="Tahoma" w:cs="Tahoma"/>
          <w:b/>
          <w:sz w:val="28"/>
          <w:szCs w:val="32"/>
        </w:rPr>
        <w:t>Paris, le 03 juin 2021</w:t>
      </w:r>
    </w:p>
    <w:p w:rsidR="002E104E" w:rsidRPr="000C6D49" w:rsidRDefault="002E104E" w:rsidP="000C6D49">
      <w:pPr>
        <w:pStyle w:val="Normal1"/>
        <w:spacing w:line="240" w:lineRule="auto"/>
        <w:jc w:val="right"/>
        <w:rPr>
          <w:rFonts w:ascii="Tahoma" w:hAnsi="Tahoma" w:cs="Tahoma"/>
          <w:b/>
          <w:i/>
          <w:sz w:val="28"/>
          <w:szCs w:val="32"/>
        </w:rPr>
      </w:pPr>
      <w:r w:rsidRPr="005D5147">
        <w:rPr>
          <w:rFonts w:ascii="Tahoma" w:hAnsi="Tahoma" w:cs="Tahoma"/>
          <w:b/>
          <w:i/>
          <w:sz w:val="28"/>
          <w:szCs w:val="32"/>
        </w:rPr>
        <w:t xml:space="preserve"> </w:t>
      </w:r>
    </w:p>
    <w:p w:rsidR="002E104E" w:rsidRDefault="002E104E">
      <w:pPr>
        <w:pStyle w:val="Normal1"/>
        <w:spacing w:line="240" w:lineRule="auto"/>
        <w:jc w:val="right"/>
        <w:rPr>
          <w:rFonts w:ascii="Tahoma" w:hAnsi="Tahoma" w:cs="Tahoma"/>
        </w:rPr>
      </w:pPr>
    </w:p>
    <w:p w:rsidR="002E104E" w:rsidRDefault="002E104E">
      <w:pPr>
        <w:pStyle w:val="Normal1"/>
        <w:spacing w:line="240" w:lineRule="auto"/>
        <w:jc w:val="right"/>
        <w:rPr>
          <w:rFonts w:ascii="Tahoma" w:hAnsi="Tahoma" w:cs="Tahoma"/>
        </w:rPr>
      </w:pPr>
    </w:p>
    <w:p w:rsidR="002E104E" w:rsidRDefault="002E104E">
      <w:pPr>
        <w:pStyle w:val="Normal1"/>
        <w:spacing w:line="240" w:lineRule="auto"/>
        <w:jc w:val="center"/>
        <w:rPr>
          <w:rFonts w:ascii="Tahoma" w:hAnsi="Tahoma" w:cs="Tahoma"/>
          <w:b/>
          <w:sz w:val="32"/>
          <w:szCs w:val="32"/>
        </w:rPr>
      </w:pPr>
      <w:r>
        <w:rPr>
          <w:rFonts w:ascii="Tahoma" w:hAnsi="Tahoma" w:cs="Tahoma"/>
          <w:b/>
          <w:sz w:val="32"/>
          <w:szCs w:val="32"/>
          <w:highlight w:val="white"/>
        </w:rPr>
        <w:t>Faq covid du ministère du 28 mai 2021 : les changements</w:t>
      </w:r>
      <w:r>
        <w:rPr>
          <w:rFonts w:ascii="Tahoma" w:hAnsi="Tahoma" w:cs="Tahoma"/>
          <w:b/>
          <w:sz w:val="32"/>
          <w:szCs w:val="32"/>
        </w:rPr>
        <w:t xml:space="preserve"> </w:t>
      </w:r>
    </w:p>
    <w:p w:rsidR="002E104E" w:rsidRDefault="002E104E">
      <w:pPr>
        <w:pStyle w:val="Normal1"/>
        <w:spacing w:line="240" w:lineRule="auto"/>
        <w:jc w:val="center"/>
        <w:rPr>
          <w:rFonts w:ascii="Tahoma" w:hAnsi="Tahoma" w:cs="Tahoma"/>
          <w:b/>
          <w:sz w:val="32"/>
          <w:szCs w:val="32"/>
        </w:rPr>
      </w:pPr>
    </w:p>
    <w:p w:rsidR="002E104E" w:rsidRDefault="002E104E">
      <w:pPr>
        <w:pStyle w:val="Normal1"/>
        <w:spacing w:line="240" w:lineRule="auto"/>
        <w:jc w:val="center"/>
        <w:rPr>
          <w:rFonts w:ascii="Tahoma" w:hAnsi="Tahoma" w:cs="Tahoma"/>
        </w:rPr>
      </w:pPr>
      <w:r>
        <w:rPr>
          <w:rFonts w:ascii="Tahoma" w:hAnsi="Tahoma" w:cs="Tahoma"/>
        </w:rPr>
        <w:t xml:space="preserve"> </w:t>
      </w:r>
    </w:p>
    <w:p w:rsidR="002E104E" w:rsidRDefault="002E104E">
      <w:pPr>
        <w:pStyle w:val="Normal1"/>
        <w:spacing w:line="240" w:lineRule="auto"/>
        <w:rPr>
          <w:rFonts w:ascii="Tahoma" w:hAnsi="Tahoma" w:cs="Tahoma"/>
          <w:highlight w:val="white"/>
        </w:rPr>
      </w:pPr>
      <w:r>
        <w:rPr>
          <w:rFonts w:ascii="Tahoma" w:hAnsi="Tahoma" w:cs="Tahoma"/>
          <w:highlight w:val="white"/>
          <w:u w:val="single"/>
        </w:rPr>
        <w:t>Textes de référence</w:t>
      </w:r>
      <w:r>
        <w:rPr>
          <w:rFonts w:ascii="Tahoma" w:hAnsi="Tahoma" w:cs="Tahoma"/>
          <w:highlight w:val="white"/>
        </w:rPr>
        <w:t xml:space="preserve">: </w:t>
      </w:r>
    </w:p>
    <w:p w:rsidR="002E104E" w:rsidRDefault="002E104E">
      <w:pPr>
        <w:pStyle w:val="Normal1"/>
        <w:numPr>
          <w:ilvl w:val="0"/>
          <w:numId w:val="2"/>
        </w:numPr>
        <w:spacing w:line="240" w:lineRule="auto"/>
        <w:rPr>
          <w:sz w:val="20"/>
          <w:szCs w:val="20"/>
        </w:rPr>
      </w:pPr>
      <w:hyperlink r:id="rId5">
        <w:r>
          <w:rPr>
            <w:color w:val="1155CC"/>
            <w:sz w:val="20"/>
            <w:szCs w:val="20"/>
            <w:u w:val="single"/>
          </w:rPr>
          <w:t>Faq MEN 28 mai 2021</w:t>
        </w:r>
      </w:hyperlink>
    </w:p>
    <w:p w:rsidR="002E104E" w:rsidRDefault="002E104E">
      <w:pPr>
        <w:pStyle w:val="Normal1"/>
        <w:spacing w:line="240" w:lineRule="auto"/>
        <w:rPr>
          <w:sz w:val="20"/>
          <w:szCs w:val="20"/>
        </w:rPr>
      </w:pP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Eurêka le Ministère publie la version de la FAQ datée du même jour (les précédentes avaient été publiées plusieurs jours après leur date d’écriture). Il fait même preuve d’anticipation puisqu’il annonce des modifications qui seront effectives au 9 juin ! C’est sans doute cela le monde d’après…</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Dans cette circulaire, seules les modifications impactant la vie des écoles et de ses personnels sont relevées, d’autres concernent spécifiquement les collèges et lycées et ne sont pas reprises.</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7"/>
        </w:numPr>
        <w:spacing w:line="240" w:lineRule="auto"/>
        <w:jc w:val="both"/>
        <w:rPr>
          <w:rFonts w:ascii="Tahoma" w:hAnsi="Tahoma" w:cs="Tahoma"/>
          <w:b/>
          <w:sz w:val="20"/>
          <w:szCs w:val="20"/>
          <w:highlight w:val="white"/>
        </w:rPr>
      </w:pPr>
      <w:r>
        <w:rPr>
          <w:rFonts w:ascii="Tahoma" w:hAnsi="Tahoma" w:cs="Tahoma"/>
          <w:b/>
          <w:sz w:val="20"/>
          <w:szCs w:val="20"/>
          <w:highlight w:val="white"/>
        </w:rPr>
        <w:t>Réunions en présentiel, conseils des maîtres, de cycle, d’école, réunion de parents...</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Ces réunions en présentiel</w:t>
      </w:r>
      <w:r>
        <w:rPr>
          <w:rFonts w:ascii="Tahoma" w:hAnsi="Tahoma" w:cs="Tahoma"/>
          <w:b/>
          <w:sz w:val="20"/>
          <w:szCs w:val="20"/>
          <w:highlight w:val="white"/>
        </w:rPr>
        <w:t xml:space="preserve"> restent vivement déconseillées</w:t>
      </w:r>
      <w:r>
        <w:rPr>
          <w:rFonts w:ascii="Tahoma" w:hAnsi="Tahoma" w:cs="Tahoma"/>
          <w:sz w:val="20"/>
          <w:szCs w:val="20"/>
          <w:highlight w:val="white"/>
        </w:rPr>
        <w:t xml:space="preserve">, mais à compter du 9 juin, les réunions regroupant plus de 6 personnes pourront se tenir en présence dans le strict respect des consignes sanitaires (port du masque, respect de la distanciation et des gestes barrières). Toutefois, il est recommandé d’appliquer une jauge d’une personne pour </w:t>
      </w:r>
      <w:smartTag w:uri="urn:schemas-microsoft-com:office:smarttags" w:element="metricconverter">
        <w:smartTagPr>
          <w:attr w:name="ProductID" w:val="4 m²"/>
        </w:smartTagPr>
        <w:r>
          <w:rPr>
            <w:rFonts w:ascii="Tahoma" w:hAnsi="Tahoma" w:cs="Tahoma"/>
            <w:sz w:val="20"/>
            <w:szCs w:val="20"/>
            <w:highlight w:val="white"/>
          </w:rPr>
          <w:t>4 m²</w:t>
        </w:r>
      </w:smartTag>
      <w:r>
        <w:rPr>
          <w:rFonts w:ascii="Tahoma" w:hAnsi="Tahoma" w:cs="Tahoma"/>
          <w:sz w:val="20"/>
          <w:szCs w:val="20"/>
          <w:highlight w:val="white"/>
        </w:rPr>
        <w:t xml:space="preserve">. </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6"/>
        </w:numPr>
        <w:spacing w:line="240" w:lineRule="auto"/>
        <w:jc w:val="both"/>
        <w:rPr>
          <w:rFonts w:ascii="Tahoma" w:hAnsi="Tahoma" w:cs="Tahoma"/>
          <w:b/>
          <w:sz w:val="20"/>
          <w:szCs w:val="20"/>
          <w:highlight w:val="white"/>
        </w:rPr>
      </w:pPr>
      <w:r>
        <w:rPr>
          <w:rFonts w:ascii="Tahoma" w:hAnsi="Tahoma" w:cs="Tahoma"/>
          <w:b/>
          <w:sz w:val="20"/>
          <w:szCs w:val="20"/>
          <w:highlight w:val="white"/>
        </w:rPr>
        <w:t>Les élèves à besoins éducatifs particuliers</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A compter de la publication de cette nouvelle FAQ (28/05/21), les élèves en situation de handicap en scolarité partagée peuvent reprendre l’organisation pédagogique telle que prévue dans leur projet personnalisé de scolarisation, en veillant au respect le plus strict des mesures sanitaires en vigueur.</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4"/>
        </w:numPr>
        <w:spacing w:line="240" w:lineRule="auto"/>
        <w:jc w:val="both"/>
        <w:rPr>
          <w:rFonts w:ascii="Tahoma" w:hAnsi="Tahoma" w:cs="Tahoma"/>
          <w:b/>
          <w:sz w:val="20"/>
          <w:szCs w:val="20"/>
          <w:highlight w:val="white"/>
        </w:rPr>
      </w:pPr>
      <w:r>
        <w:rPr>
          <w:rFonts w:ascii="Tahoma" w:hAnsi="Tahoma" w:cs="Tahoma"/>
          <w:b/>
          <w:sz w:val="20"/>
          <w:szCs w:val="20"/>
          <w:highlight w:val="white"/>
        </w:rPr>
        <w:t>Les cours d’éducation physique et sportive (EPS)</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A compter du 9 juin, les activités physiques et sportives qui, par leur nature, ne permettent pas le respect de la distanciation (par exemple les sports de contact) seront autorisées en extérieur pour les élèves d’un même groupe classe. A compter du 30 juin, ces activités seront également autorisées en intérieur pour les élèves d’un même groupe classe.</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8"/>
        </w:numPr>
        <w:spacing w:line="240" w:lineRule="auto"/>
        <w:jc w:val="both"/>
        <w:rPr>
          <w:rFonts w:ascii="Tahoma" w:hAnsi="Tahoma" w:cs="Tahoma"/>
          <w:b/>
          <w:sz w:val="20"/>
          <w:szCs w:val="20"/>
          <w:highlight w:val="white"/>
        </w:rPr>
      </w:pPr>
      <w:r>
        <w:rPr>
          <w:rFonts w:ascii="Tahoma" w:hAnsi="Tahoma" w:cs="Tahoma"/>
          <w:b/>
          <w:sz w:val="20"/>
          <w:szCs w:val="20"/>
          <w:highlight w:val="white"/>
        </w:rPr>
        <w:t>Les activités physiques et sportives des mineurs sur le temps périscolaire et extra-scolaire</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Les activités physiques et sportives encadrées des mineurs en extérieur comme en intérieur organisées sur le temps périscolaire et extra-scolaire sont de nouveau autorisées dans le respect des gestes barrières.</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3"/>
        </w:numPr>
        <w:spacing w:line="240" w:lineRule="auto"/>
        <w:jc w:val="both"/>
        <w:rPr>
          <w:rFonts w:ascii="Tahoma" w:hAnsi="Tahoma" w:cs="Tahoma"/>
          <w:b/>
          <w:sz w:val="20"/>
          <w:szCs w:val="20"/>
          <w:highlight w:val="white"/>
        </w:rPr>
      </w:pPr>
      <w:r>
        <w:rPr>
          <w:rFonts w:ascii="Tahoma" w:hAnsi="Tahoma" w:cs="Tahoma"/>
          <w:b/>
          <w:sz w:val="20"/>
          <w:szCs w:val="20"/>
          <w:highlight w:val="white"/>
        </w:rPr>
        <w:t>Le dispositif « vacances apprenantes » 2021 et protocole sanitaire</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Le protocole sanitaire applicable est celui de l’établissement d’accueil. Néanmoins, si certaines dispositions de ce protocole sont moins strictes que celles du protocole sanitaire de l’éducation nationale, alors ce sont les dispositions du protocole de l’éducation nationale qui s’appliquent.</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9"/>
        </w:numPr>
        <w:spacing w:line="240" w:lineRule="auto"/>
        <w:jc w:val="both"/>
        <w:rPr>
          <w:rFonts w:ascii="Tahoma" w:hAnsi="Tahoma" w:cs="Tahoma"/>
          <w:b/>
          <w:sz w:val="20"/>
          <w:szCs w:val="20"/>
          <w:highlight w:val="white"/>
        </w:rPr>
      </w:pPr>
      <w:r>
        <w:rPr>
          <w:rFonts w:ascii="Tahoma" w:hAnsi="Tahoma" w:cs="Tahoma"/>
          <w:b/>
          <w:sz w:val="20"/>
          <w:szCs w:val="20"/>
          <w:highlight w:val="white"/>
        </w:rPr>
        <w:t>Les sorties et voyages scolaires</w:t>
      </w:r>
    </w:p>
    <w:p w:rsidR="002E104E" w:rsidRDefault="002E104E">
      <w:pPr>
        <w:pStyle w:val="Normal1"/>
        <w:spacing w:line="240" w:lineRule="auto"/>
        <w:jc w:val="both"/>
        <w:rPr>
          <w:rFonts w:ascii="Tahoma" w:hAnsi="Tahoma" w:cs="Tahoma"/>
          <w:sz w:val="20"/>
          <w:szCs w:val="20"/>
          <w:highlight w:val="white"/>
        </w:rPr>
      </w:pPr>
      <w:r>
        <w:rPr>
          <w:rFonts w:ascii="Tahoma" w:hAnsi="Tahoma" w:cs="Tahoma"/>
          <w:b/>
          <w:sz w:val="20"/>
          <w:szCs w:val="20"/>
          <w:highlight w:val="white"/>
          <w:u w:val="single"/>
        </w:rPr>
        <w:t xml:space="preserve">Sans nuitées </w:t>
      </w:r>
      <w:r>
        <w:rPr>
          <w:rFonts w:ascii="Tahoma" w:hAnsi="Tahoma" w:cs="Tahoma"/>
          <w:sz w:val="20"/>
          <w:szCs w:val="20"/>
          <w:highlight w:val="white"/>
        </w:rPr>
        <w:t>: les sorties scolaires sans nuitées, sur le plan national, étaient d’ores et déjà autorisées dans le respect des gestes barrières.</w:t>
      </w:r>
    </w:p>
    <w:p w:rsidR="002E104E" w:rsidRDefault="002E104E">
      <w:pPr>
        <w:pStyle w:val="Normal1"/>
        <w:spacing w:line="240" w:lineRule="auto"/>
        <w:jc w:val="both"/>
        <w:rPr>
          <w:rFonts w:ascii="Tahoma" w:hAnsi="Tahoma" w:cs="Tahoma"/>
          <w:sz w:val="20"/>
          <w:szCs w:val="20"/>
          <w:highlight w:val="white"/>
        </w:rPr>
      </w:pPr>
      <w:r>
        <w:rPr>
          <w:rFonts w:ascii="Tahoma" w:hAnsi="Tahoma" w:cs="Tahoma"/>
          <w:b/>
          <w:sz w:val="20"/>
          <w:szCs w:val="20"/>
          <w:highlight w:val="white"/>
          <w:u w:val="single"/>
        </w:rPr>
        <w:t>Avec nuitées :</w:t>
      </w:r>
      <w:r>
        <w:rPr>
          <w:rFonts w:ascii="Tahoma" w:hAnsi="Tahoma" w:cs="Tahoma"/>
          <w:sz w:val="20"/>
          <w:szCs w:val="20"/>
          <w:highlight w:val="white"/>
        </w:rPr>
        <w:t xml:space="preserve"> uniquement à compter du 20 juin, les voyages scolaires avec nuitée(s) seront de nouveau autorisés dans le respect du protocole sanitaire applicable aux accueils collectifs de mineurs. L’opportunité de ces voyages scolaires devra être analysée en amont au regard de la situation sanitaire locale.</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spacing w:line="240" w:lineRule="auto"/>
        <w:ind w:left="720"/>
        <w:jc w:val="both"/>
        <w:rPr>
          <w:rFonts w:ascii="Tahoma" w:hAnsi="Tahoma" w:cs="Tahoma"/>
          <w:b/>
          <w:sz w:val="20"/>
          <w:szCs w:val="20"/>
          <w:highlight w:val="white"/>
        </w:rPr>
      </w:pPr>
      <w:r>
        <w:br w:type="page"/>
      </w:r>
    </w:p>
    <w:p w:rsidR="002E104E" w:rsidRDefault="002E104E">
      <w:pPr>
        <w:pStyle w:val="Normal1"/>
        <w:numPr>
          <w:ilvl w:val="0"/>
          <w:numId w:val="5"/>
        </w:numPr>
        <w:spacing w:line="240" w:lineRule="auto"/>
        <w:jc w:val="both"/>
        <w:rPr>
          <w:rFonts w:ascii="Tahoma" w:hAnsi="Tahoma" w:cs="Tahoma"/>
          <w:b/>
          <w:sz w:val="20"/>
          <w:szCs w:val="20"/>
          <w:highlight w:val="white"/>
        </w:rPr>
      </w:pPr>
      <w:r>
        <w:rPr>
          <w:rFonts w:ascii="Tahoma" w:hAnsi="Tahoma" w:cs="Tahoma"/>
          <w:b/>
          <w:sz w:val="20"/>
          <w:szCs w:val="20"/>
          <w:highlight w:val="white"/>
        </w:rPr>
        <w:t>Les fêtes de fin d’année et kermesses</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 xml:space="preserve">La tenue des fêtes de fin d’année et des kermesses sera autorisée selon le calendrier suivant et si la situation sanitaire le permet :  </w:t>
      </w:r>
    </w:p>
    <w:p w:rsidR="002E104E" w:rsidRDefault="002E104E">
      <w:pPr>
        <w:pStyle w:val="Normal1"/>
        <w:spacing w:line="240" w:lineRule="auto"/>
        <w:jc w:val="both"/>
        <w:rPr>
          <w:rFonts w:ascii="Tahoma" w:hAnsi="Tahoma" w:cs="Tahoma"/>
          <w:b/>
          <w:sz w:val="20"/>
          <w:szCs w:val="20"/>
          <w:highlight w:val="white"/>
        </w:rPr>
      </w:pP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693"/>
        <w:gridCol w:w="2693"/>
        <w:gridCol w:w="2694"/>
        <w:gridCol w:w="2694"/>
      </w:tblGrid>
      <w:tr w:rsidR="002E104E" w:rsidTr="0037568A">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i/>
                <w:sz w:val="20"/>
                <w:szCs w:val="20"/>
                <w:highlight w:val="white"/>
              </w:rPr>
            </w:pPr>
            <w:r w:rsidRPr="0037568A">
              <w:rPr>
                <w:rFonts w:ascii="Tahoma" w:hAnsi="Tahoma" w:cs="Tahoma"/>
                <w:b/>
                <w:i/>
                <w:sz w:val="20"/>
                <w:szCs w:val="20"/>
                <w:highlight w:val="white"/>
              </w:rPr>
              <w:t>A compter du</w:t>
            </w:r>
          </w:p>
        </w:tc>
        <w:tc>
          <w:tcPr>
            <w:tcW w:w="2693" w:type="dxa"/>
            <w:tcBorders>
              <w:top w:val="single" w:sz="12" w:space="0" w:color="000000"/>
              <w:left w:val="single" w:sz="12" w:space="0" w:color="000000"/>
              <w:bottom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i/>
                <w:sz w:val="20"/>
                <w:szCs w:val="20"/>
                <w:highlight w:val="white"/>
              </w:rPr>
            </w:pPr>
            <w:r w:rsidRPr="0037568A">
              <w:rPr>
                <w:rFonts w:ascii="Tahoma" w:hAnsi="Tahoma" w:cs="Tahoma"/>
                <w:b/>
                <w:i/>
                <w:sz w:val="20"/>
                <w:szCs w:val="20"/>
                <w:highlight w:val="white"/>
              </w:rPr>
              <w:t>où</w:t>
            </w:r>
          </w:p>
        </w:tc>
        <w:tc>
          <w:tcPr>
            <w:tcW w:w="2693" w:type="dxa"/>
            <w:tcBorders>
              <w:top w:val="single" w:sz="12" w:space="0" w:color="000000"/>
              <w:bottom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i/>
                <w:sz w:val="20"/>
                <w:szCs w:val="20"/>
                <w:highlight w:val="white"/>
              </w:rPr>
            </w:pPr>
            <w:r w:rsidRPr="0037568A">
              <w:rPr>
                <w:rFonts w:ascii="Tahoma" w:hAnsi="Tahoma" w:cs="Tahoma"/>
                <w:b/>
                <w:i/>
                <w:sz w:val="20"/>
                <w:szCs w:val="20"/>
                <w:highlight w:val="white"/>
              </w:rPr>
              <w:t>participants</w:t>
            </w:r>
          </w:p>
        </w:tc>
        <w:tc>
          <w:tcPr>
            <w:tcW w:w="2693" w:type="dxa"/>
            <w:tcBorders>
              <w:top w:val="single" w:sz="12" w:space="0" w:color="000000"/>
              <w:bottom w:val="single" w:sz="12" w:space="0" w:color="000000"/>
              <w:righ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i/>
                <w:sz w:val="20"/>
                <w:szCs w:val="20"/>
                <w:highlight w:val="white"/>
              </w:rPr>
            </w:pPr>
            <w:r w:rsidRPr="0037568A">
              <w:rPr>
                <w:rFonts w:ascii="Tahoma" w:hAnsi="Tahoma" w:cs="Tahoma"/>
                <w:b/>
                <w:i/>
                <w:sz w:val="20"/>
                <w:szCs w:val="20"/>
                <w:highlight w:val="white"/>
              </w:rPr>
              <w:t>distanciation</w:t>
            </w:r>
          </w:p>
        </w:tc>
      </w:tr>
      <w:tr w:rsidR="002E104E" w:rsidTr="0037568A">
        <w:tc>
          <w:tcPr>
            <w:tcW w:w="2693" w:type="dxa"/>
            <w:tcBorders>
              <w:top w:val="single" w:sz="12" w:space="0" w:color="000000"/>
              <w:left w:val="single" w:sz="12" w:space="0" w:color="000000"/>
              <w:righ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sz w:val="20"/>
                <w:szCs w:val="20"/>
                <w:highlight w:val="white"/>
              </w:rPr>
            </w:pPr>
            <w:r w:rsidRPr="0037568A">
              <w:rPr>
                <w:rFonts w:ascii="Tahoma" w:hAnsi="Tahoma" w:cs="Tahoma"/>
                <w:b/>
                <w:sz w:val="20"/>
                <w:szCs w:val="20"/>
                <w:highlight w:val="white"/>
              </w:rPr>
              <w:t>9 juin</w:t>
            </w:r>
          </w:p>
        </w:tc>
        <w:tc>
          <w:tcPr>
            <w:tcW w:w="2693" w:type="dxa"/>
            <w:tcBorders>
              <w:top w:val="single" w:sz="12" w:space="0" w:color="000000"/>
              <w:lef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r w:rsidRPr="0037568A">
              <w:rPr>
                <w:rFonts w:ascii="Tahoma" w:hAnsi="Tahoma" w:cs="Tahoma"/>
                <w:sz w:val="20"/>
                <w:szCs w:val="20"/>
                <w:highlight w:val="white"/>
              </w:rPr>
              <w:t>extérieur</w:t>
            </w:r>
          </w:p>
        </w:tc>
        <w:tc>
          <w:tcPr>
            <w:tcW w:w="2693" w:type="dxa"/>
            <w:tcBorders>
              <w:top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r w:rsidRPr="0037568A">
              <w:rPr>
                <w:rFonts w:ascii="Tahoma" w:hAnsi="Tahoma" w:cs="Tahoma"/>
                <w:sz w:val="20"/>
                <w:szCs w:val="20"/>
                <w:highlight w:val="white"/>
              </w:rPr>
              <w:t>assis</w:t>
            </w:r>
          </w:p>
        </w:tc>
        <w:tc>
          <w:tcPr>
            <w:tcW w:w="2693" w:type="dxa"/>
            <w:tcBorders>
              <w:top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smartTag w:uri="urn:schemas-microsoft-com:office:smarttags" w:element="metricconverter">
              <w:smartTagPr>
                <w:attr w:name="ProductID" w:val="1 mètre"/>
              </w:smartTagPr>
              <w:r w:rsidRPr="0037568A">
                <w:rPr>
                  <w:rFonts w:ascii="Tahoma" w:hAnsi="Tahoma" w:cs="Tahoma"/>
                  <w:sz w:val="20"/>
                  <w:szCs w:val="20"/>
                  <w:highlight w:val="white"/>
                </w:rPr>
                <w:t>1 mètre</w:t>
              </w:r>
            </w:smartTag>
          </w:p>
        </w:tc>
      </w:tr>
      <w:tr w:rsidR="002E104E" w:rsidTr="0037568A">
        <w:trPr>
          <w:trHeight w:val="400"/>
        </w:trPr>
        <w:tc>
          <w:tcPr>
            <w:tcW w:w="2693" w:type="dxa"/>
            <w:vMerge w:val="restart"/>
            <w:tcBorders>
              <w:left w:val="single" w:sz="12" w:space="0" w:color="000000"/>
              <w:righ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sz w:val="20"/>
                <w:szCs w:val="20"/>
                <w:highlight w:val="white"/>
              </w:rPr>
            </w:pPr>
            <w:r w:rsidRPr="0037568A">
              <w:rPr>
                <w:rFonts w:ascii="Tahoma" w:hAnsi="Tahoma" w:cs="Tahoma"/>
                <w:b/>
                <w:sz w:val="20"/>
                <w:szCs w:val="20"/>
                <w:highlight w:val="white"/>
              </w:rPr>
              <w:t>1er juillet</w:t>
            </w:r>
          </w:p>
        </w:tc>
        <w:tc>
          <w:tcPr>
            <w:tcW w:w="2693" w:type="dxa"/>
            <w:vMerge w:val="restart"/>
            <w:tcBorders>
              <w:lef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r w:rsidRPr="0037568A">
              <w:rPr>
                <w:rFonts w:ascii="Tahoma" w:hAnsi="Tahoma" w:cs="Tahoma"/>
                <w:sz w:val="20"/>
                <w:szCs w:val="20"/>
                <w:highlight w:val="white"/>
              </w:rPr>
              <w:t>extérieur</w:t>
            </w:r>
          </w:p>
        </w:tc>
        <w:tc>
          <w:tcPr>
            <w:tcW w:w="2693" w:type="dxa"/>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r w:rsidRPr="0037568A">
              <w:rPr>
                <w:rFonts w:ascii="Tahoma" w:hAnsi="Tahoma" w:cs="Tahoma"/>
                <w:sz w:val="20"/>
                <w:szCs w:val="20"/>
                <w:highlight w:val="white"/>
              </w:rPr>
              <w:t>assis</w:t>
            </w:r>
          </w:p>
        </w:tc>
        <w:tc>
          <w:tcPr>
            <w:tcW w:w="2693" w:type="dxa"/>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smartTag w:uri="urn:schemas-microsoft-com:office:smarttags" w:element="metricconverter">
              <w:smartTagPr>
                <w:attr w:name="ProductID" w:val="1 mètre"/>
              </w:smartTagPr>
              <w:r w:rsidRPr="0037568A">
                <w:rPr>
                  <w:rFonts w:ascii="Tahoma" w:hAnsi="Tahoma" w:cs="Tahoma"/>
                  <w:sz w:val="20"/>
                  <w:szCs w:val="20"/>
                  <w:highlight w:val="white"/>
                </w:rPr>
                <w:t>1 mètre</w:t>
              </w:r>
            </w:smartTag>
          </w:p>
        </w:tc>
      </w:tr>
      <w:tr w:rsidR="002E104E" w:rsidTr="0037568A">
        <w:trPr>
          <w:trHeight w:val="400"/>
        </w:trPr>
        <w:tc>
          <w:tcPr>
            <w:tcW w:w="2693" w:type="dxa"/>
            <w:vMerge/>
            <w:tcBorders>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sz w:val="20"/>
                <w:szCs w:val="20"/>
                <w:highlight w:val="white"/>
              </w:rPr>
            </w:pPr>
          </w:p>
        </w:tc>
        <w:tc>
          <w:tcPr>
            <w:tcW w:w="2693" w:type="dxa"/>
            <w:vMerge/>
            <w:tcBorders>
              <w:left w:val="single" w:sz="12" w:space="0" w:color="000000"/>
            </w:tcBorders>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b/>
                <w:sz w:val="20"/>
                <w:szCs w:val="20"/>
                <w:highlight w:val="white"/>
              </w:rPr>
            </w:pPr>
          </w:p>
        </w:tc>
        <w:tc>
          <w:tcPr>
            <w:tcW w:w="2693" w:type="dxa"/>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r w:rsidRPr="0037568A">
              <w:rPr>
                <w:rFonts w:ascii="Tahoma" w:hAnsi="Tahoma" w:cs="Tahoma"/>
                <w:sz w:val="20"/>
                <w:szCs w:val="20"/>
                <w:highlight w:val="white"/>
              </w:rPr>
              <w:t>debout</w:t>
            </w:r>
          </w:p>
        </w:tc>
        <w:tc>
          <w:tcPr>
            <w:tcW w:w="2693" w:type="dxa"/>
            <w:tcMar>
              <w:top w:w="100" w:type="dxa"/>
              <w:left w:w="100" w:type="dxa"/>
              <w:bottom w:w="100" w:type="dxa"/>
              <w:right w:w="100" w:type="dxa"/>
            </w:tcMar>
            <w:vAlign w:val="center"/>
          </w:tcPr>
          <w:p w:rsidR="002E104E" w:rsidRPr="0037568A" w:rsidRDefault="002E104E" w:rsidP="0037568A">
            <w:pPr>
              <w:pStyle w:val="Normal1"/>
              <w:widowControl w:val="0"/>
              <w:spacing w:line="240" w:lineRule="auto"/>
              <w:jc w:val="center"/>
              <w:rPr>
                <w:rFonts w:ascii="Tahoma" w:hAnsi="Tahoma" w:cs="Tahoma"/>
                <w:sz w:val="20"/>
                <w:szCs w:val="20"/>
                <w:highlight w:val="white"/>
              </w:rPr>
            </w:pPr>
            <w:r w:rsidRPr="0037568A">
              <w:rPr>
                <w:rFonts w:ascii="Tahoma" w:hAnsi="Tahoma" w:cs="Tahoma"/>
                <w:sz w:val="20"/>
                <w:szCs w:val="20"/>
                <w:highlight w:val="white"/>
              </w:rPr>
              <w:t xml:space="preserve">recommandation </w:t>
            </w:r>
            <w:smartTag w:uri="urn:schemas-microsoft-com:office:smarttags" w:element="metricconverter">
              <w:smartTagPr>
                <w:attr w:name="ProductID" w:val="4 m²"/>
              </w:smartTagPr>
              <w:r w:rsidRPr="0037568A">
                <w:rPr>
                  <w:rFonts w:ascii="Tahoma" w:hAnsi="Tahoma" w:cs="Tahoma"/>
                  <w:sz w:val="20"/>
                  <w:szCs w:val="20"/>
                  <w:highlight w:val="white"/>
                </w:rPr>
                <w:t>4 m²</w:t>
              </w:r>
            </w:smartTag>
            <w:r w:rsidRPr="0037568A">
              <w:rPr>
                <w:rFonts w:ascii="Tahoma" w:hAnsi="Tahoma" w:cs="Tahoma"/>
                <w:sz w:val="20"/>
                <w:szCs w:val="20"/>
                <w:highlight w:val="white"/>
              </w:rPr>
              <w:t xml:space="preserve"> par personne (ce qui correspond à une distanciation de </w:t>
            </w:r>
            <w:smartTag w:uri="urn:schemas-microsoft-com:office:smarttags" w:element="metricconverter">
              <w:smartTagPr>
                <w:attr w:name="ProductID" w:val="1 m"/>
              </w:smartTagPr>
              <w:r w:rsidRPr="0037568A">
                <w:rPr>
                  <w:rFonts w:ascii="Tahoma" w:hAnsi="Tahoma" w:cs="Tahoma"/>
                  <w:sz w:val="20"/>
                  <w:szCs w:val="20"/>
                  <w:highlight w:val="white"/>
                </w:rPr>
                <w:t>1 m</w:t>
              </w:r>
            </w:smartTag>
            <w:r w:rsidRPr="0037568A">
              <w:rPr>
                <w:rFonts w:ascii="Tahoma" w:hAnsi="Tahoma" w:cs="Tahoma"/>
                <w:sz w:val="20"/>
                <w:szCs w:val="20"/>
                <w:highlight w:val="white"/>
              </w:rPr>
              <w:t>!)</w:t>
            </w:r>
          </w:p>
        </w:tc>
      </w:tr>
    </w:tbl>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La formulation de cette réponse, en page 36, est étonnante, notamment sur le paragraphe concernant la situation à compter du 1er juillet. Mais dans les termes actuels, elle n’autorise en aucune manière la fête de fin d'année en intérieur. Le SNUipp-FSU interroge le ministère...</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numPr>
          <w:ilvl w:val="0"/>
          <w:numId w:val="1"/>
        </w:numPr>
        <w:spacing w:line="240" w:lineRule="auto"/>
        <w:jc w:val="both"/>
        <w:rPr>
          <w:rFonts w:ascii="Tahoma" w:hAnsi="Tahoma" w:cs="Tahoma"/>
          <w:b/>
          <w:sz w:val="20"/>
          <w:szCs w:val="20"/>
          <w:highlight w:val="white"/>
        </w:rPr>
      </w:pPr>
      <w:r>
        <w:rPr>
          <w:rFonts w:ascii="Tahoma" w:hAnsi="Tahoma" w:cs="Tahoma"/>
          <w:b/>
          <w:sz w:val="20"/>
          <w:szCs w:val="20"/>
          <w:highlight w:val="white"/>
        </w:rPr>
        <w:t>Personnels vulnérables</w:t>
      </w:r>
    </w:p>
    <w:p w:rsidR="002E104E" w:rsidRDefault="002E104E">
      <w:pPr>
        <w:pStyle w:val="Normal1"/>
        <w:spacing w:line="240" w:lineRule="auto"/>
        <w:jc w:val="both"/>
        <w:rPr>
          <w:rFonts w:ascii="Tahoma" w:hAnsi="Tahoma" w:cs="Tahoma"/>
          <w:sz w:val="20"/>
          <w:szCs w:val="20"/>
          <w:highlight w:val="white"/>
        </w:rPr>
      </w:pPr>
      <w:r>
        <w:rPr>
          <w:rFonts w:ascii="Tahoma" w:hAnsi="Tahoma" w:cs="Tahoma"/>
          <w:sz w:val="20"/>
          <w:szCs w:val="20"/>
          <w:highlight w:val="white"/>
        </w:rPr>
        <w:t xml:space="preserve">La FAQ confirme le dispositif antérieur : “Si l’employeur estime être dans l’impossibilité d’aménager le poste de façon à protéger suffisamment l’agent, celui-ci est alors placé en autorisation spéciale d’absence (ASA)”. En conséquence les personnels vulnérables, devant élèves, restent en ASA (cf </w:t>
      </w:r>
      <w:hyperlink r:id="rId6">
        <w:r>
          <w:rPr>
            <w:rFonts w:ascii="Tahoma" w:hAnsi="Tahoma" w:cs="Tahoma"/>
            <w:color w:val="1155CC"/>
            <w:sz w:val="20"/>
            <w:szCs w:val="20"/>
            <w:highlight w:val="white"/>
            <w:u w:val="single"/>
          </w:rPr>
          <w:t>circulaire SNU n° 14740 du 28/05/21</w:t>
        </w:r>
      </w:hyperlink>
      <w:r>
        <w:rPr>
          <w:rFonts w:ascii="Tahoma" w:hAnsi="Tahoma" w:cs="Tahoma"/>
          <w:sz w:val="20"/>
          <w:szCs w:val="20"/>
          <w:highlight w:val="white"/>
        </w:rPr>
        <w:t xml:space="preserve"> sur le sujet).</w:t>
      </w: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spacing w:line="240" w:lineRule="auto"/>
        <w:jc w:val="both"/>
        <w:rPr>
          <w:rFonts w:ascii="Tahoma" w:hAnsi="Tahoma" w:cs="Tahoma"/>
          <w:sz w:val="20"/>
          <w:szCs w:val="20"/>
          <w:highlight w:val="white"/>
        </w:rPr>
      </w:pPr>
    </w:p>
    <w:p w:rsidR="002E104E" w:rsidRDefault="002E104E">
      <w:pPr>
        <w:pStyle w:val="Normal1"/>
        <w:spacing w:line="240" w:lineRule="auto"/>
      </w:pPr>
    </w:p>
    <w:sectPr w:rsidR="002E104E" w:rsidSect="00EC6DFE">
      <w:pgSz w:w="11906" w:h="16838"/>
      <w:pgMar w:top="566" w:right="566" w:bottom="566"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082"/>
    <w:multiLevelType w:val="multilevel"/>
    <w:tmpl w:val="58A0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8124C"/>
    <w:multiLevelType w:val="multilevel"/>
    <w:tmpl w:val="37841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475920"/>
    <w:multiLevelType w:val="multilevel"/>
    <w:tmpl w:val="C89CA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57779B"/>
    <w:multiLevelType w:val="multilevel"/>
    <w:tmpl w:val="79788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3A3508"/>
    <w:multiLevelType w:val="multilevel"/>
    <w:tmpl w:val="5DB0A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284331"/>
    <w:multiLevelType w:val="multilevel"/>
    <w:tmpl w:val="DF987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CE25F4"/>
    <w:multiLevelType w:val="multilevel"/>
    <w:tmpl w:val="66EE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167E52"/>
    <w:multiLevelType w:val="multilevel"/>
    <w:tmpl w:val="B26E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EE5358"/>
    <w:multiLevelType w:val="multilevel"/>
    <w:tmpl w:val="29FA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8"/>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DFE"/>
    <w:rsid w:val="0003420C"/>
    <w:rsid w:val="000C6D49"/>
    <w:rsid w:val="002E104E"/>
    <w:rsid w:val="0037568A"/>
    <w:rsid w:val="00493CC7"/>
    <w:rsid w:val="005D5147"/>
    <w:rsid w:val="006B34C6"/>
    <w:rsid w:val="00963A64"/>
    <w:rsid w:val="00B65878"/>
    <w:rsid w:val="00E20B4D"/>
    <w:rsid w:val="00EC6DF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4D"/>
    <w:pPr>
      <w:spacing w:line="276" w:lineRule="auto"/>
    </w:pPr>
  </w:style>
  <w:style w:type="paragraph" w:styleId="Heading1">
    <w:name w:val="heading 1"/>
    <w:basedOn w:val="Normal1"/>
    <w:next w:val="Normal1"/>
    <w:link w:val="Heading1Char"/>
    <w:uiPriority w:val="99"/>
    <w:qFormat/>
    <w:rsid w:val="00EC6DFE"/>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EC6DFE"/>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EC6DFE"/>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EC6DFE"/>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EC6DFE"/>
    <w:pPr>
      <w:keepNext/>
      <w:keepLines/>
      <w:spacing w:before="240" w:after="80"/>
      <w:outlineLvl w:val="4"/>
    </w:pPr>
    <w:rPr>
      <w:color w:val="666666"/>
    </w:rPr>
  </w:style>
  <w:style w:type="paragraph" w:styleId="Heading6">
    <w:name w:val="heading 6"/>
    <w:basedOn w:val="Normal1"/>
    <w:next w:val="Normal1"/>
    <w:link w:val="Heading6Char"/>
    <w:uiPriority w:val="99"/>
    <w:qFormat/>
    <w:rsid w:val="00EC6DFE"/>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2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32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32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32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432D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432D7"/>
    <w:rPr>
      <w:rFonts w:asciiTheme="minorHAnsi" w:eastAsiaTheme="minorEastAsia" w:hAnsiTheme="minorHAnsi" w:cstheme="minorBidi"/>
      <w:b/>
      <w:bCs/>
    </w:rPr>
  </w:style>
  <w:style w:type="paragraph" w:customStyle="1" w:styleId="Normal1">
    <w:name w:val="Normal1"/>
    <w:uiPriority w:val="99"/>
    <w:rsid w:val="00EC6DFE"/>
    <w:pPr>
      <w:spacing w:line="276" w:lineRule="auto"/>
    </w:pPr>
  </w:style>
  <w:style w:type="table" w:customStyle="1" w:styleId="TableNormal1">
    <w:name w:val="Table Normal1"/>
    <w:uiPriority w:val="99"/>
    <w:rsid w:val="00EC6DFE"/>
    <w:pPr>
      <w:spacing w:line="276" w:lineRule="auto"/>
    </w:pPr>
    <w:tblPr>
      <w:tblCellMar>
        <w:top w:w="0" w:type="dxa"/>
        <w:left w:w="0" w:type="dxa"/>
        <w:bottom w:w="0" w:type="dxa"/>
        <w:right w:w="0" w:type="dxa"/>
      </w:tblCellMar>
    </w:tblPr>
  </w:style>
  <w:style w:type="paragraph" w:styleId="Title">
    <w:name w:val="Title"/>
    <w:basedOn w:val="Normal1"/>
    <w:next w:val="Normal1"/>
    <w:link w:val="TitleChar"/>
    <w:uiPriority w:val="99"/>
    <w:qFormat/>
    <w:rsid w:val="00EC6DFE"/>
    <w:pPr>
      <w:keepNext/>
      <w:keepLines/>
      <w:spacing w:after="60"/>
    </w:pPr>
    <w:rPr>
      <w:sz w:val="52"/>
      <w:szCs w:val="52"/>
    </w:rPr>
  </w:style>
  <w:style w:type="character" w:customStyle="1" w:styleId="TitleChar">
    <w:name w:val="Title Char"/>
    <w:basedOn w:val="DefaultParagraphFont"/>
    <w:link w:val="Title"/>
    <w:uiPriority w:val="10"/>
    <w:rsid w:val="006432D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EC6DFE"/>
    <w:pPr>
      <w:keepNext/>
      <w:keepLines/>
      <w:spacing w:after="320"/>
    </w:pPr>
    <w:rPr>
      <w:color w:val="666666"/>
      <w:sz w:val="30"/>
      <w:szCs w:val="30"/>
    </w:rPr>
  </w:style>
  <w:style w:type="character" w:customStyle="1" w:styleId="SubtitleChar">
    <w:name w:val="Subtitle Char"/>
    <w:basedOn w:val="DefaultParagraphFont"/>
    <w:link w:val="Subtitle"/>
    <w:uiPriority w:val="11"/>
    <w:rsid w:val="006432D7"/>
    <w:rPr>
      <w:rFonts w:asciiTheme="majorHAnsi" w:eastAsiaTheme="majorEastAsia" w:hAnsiTheme="majorHAnsi" w:cstheme="majorBidi"/>
      <w:sz w:val="24"/>
      <w:szCs w:val="24"/>
    </w:rPr>
  </w:style>
  <w:style w:type="table" w:customStyle="1" w:styleId="Style">
    <w:name w:val="Style"/>
    <w:basedOn w:val="TableNormal1"/>
    <w:uiPriority w:val="99"/>
    <w:rsid w:val="00EC6DFE"/>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rculaires.snuipp.fr/download.php?cle_document=14740" TargetMode="External"/><Relationship Id="rId5" Type="http://schemas.openxmlformats.org/officeDocument/2006/relationships/hyperlink" Target="https://intra.snuipp.fr/spip.php?article7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639</Words>
  <Characters>3515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03 juin 2021</dc:title>
  <dc:subject/>
  <dc:creator>Andre-PC</dc:creator>
  <cp:keywords/>
  <dc:description/>
  <cp:lastModifiedBy>SNUipp-FSU 38</cp:lastModifiedBy>
  <cp:revision>2</cp:revision>
  <dcterms:created xsi:type="dcterms:W3CDTF">2021-06-03T12:58:00Z</dcterms:created>
  <dcterms:modified xsi:type="dcterms:W3CDTF">2021-06-03T12:58:00Z</dcterms:modified>
</cp:coreProperties>
</file>