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4582" w:rsidRPr="006B26D3" w:rsidRDefault="00F74582" w:rsidP="00F90D76">
      <w:pPr>
        <w:pStyle w:val="WW-Standard"/>
        <w:rPr>
          <w:rFonts w:ascii="Tahoma" w:hAnsi="Tahoma" w:cs="Tahoma"/>
          <w:b/>
          <w:sz w:val="28"/>
          <w:szCs w:val="22"/>
        </w:rPr>
      </w:pPr>
    </w:p>
    <w:p w:rsidR="00F74582" w:rsidRDefault="00F74582">
      <w:pPr>
        <w:jc w:val="center"/>
        <w:rPr>
          <w:rFonts w:ascii="Tahoma" w:hAnsi="Tahoma" w:cs="Tahoma"/>
          <w:b/>
          <w:sz w:val="32"/>
          <w:szCs w:val="32"/>
        </w:rPr>
      </w:pPr>
      <w:r>
        <w:rPr>
          <w:rFonts w:ascii="Tahoma" w:hAnsi="Tahoma" w:cs="Tahoma"/>
          <w:b/>
          <w:sz w:val="32"/>
          <w:szCs w:val="32"/>
        </w:rPr>
        <w:t xml:space="preserve">Situation </w:t>
      </w:r>
      <w:bookmarkStart w:id="0" w:name="_GoBack"/>
      <w:bookmarkEnd w:id="0"/>
      <w:r>
        <w:rPr>
          <w:rFonts w:ascii="Tahoma" w:hAnsi="Tahoma" w:cs="Tahoma"/>
          <w:b/>
          <w:sz w:val="32"/>
          <w:szCs w:val="32"/>
        </w:rPr>
        <w:t>des formateurs-trices</w:t>
      </w:r>
    </w:p>
    <w:p w:rsidR="00F74582" w:rsidRDefault="00F74582">
      <w:pPr>
        <w:jc w:val="center"/>
      </w:pPr>
      <w:r>
        <w:rPr>
          <w:rFonts w:ascii="Tahoma" w:hAnsi="Tahoma" w:cs="Tahoma"/>
          <w:b/>
          <w:sz w:val="32"/>
          <w:szCs w:val="32"/>
        </w:rPr>
        <w:t>à l’issue des groupes de travail du Grenelle</w:t>
      </w:r>
    </w:p>
    <w:p w:rsidR="00F74582" w:rsidRDefault="00F74582">
      <w:pPr>
        <w:jc w:val="center"/>
        <w:rPr>
          <w:rFonts w:ascii="Tahoma" w:hAnsi="Tahoma" w:cs="Tahoma"/>
          <w:b/>
          <w:sz w:val="32"/>
          <w:szCs w:val="32"/>
        </w:rPr>
      </w:pPr>
    </w:p>
    <w:p w:rsidR="00F74582" w:rsidRPr="00251C5A" w:rsidRDefault="00F74582">
      <w:pPr>
        <w:spacing w:before="100" w:after="113" w:line="240" w:lineRule="auto"/>
        <w:jc w:val="both"/>
      </w:pPr>
      <w:r>
        <w:rPr>
          <w:rFonts w:ascii="Tahoma" w:hAnsi="Tahoma" w:cs="Tahoma"/>
        </w:rPr>
        <w:t xml:space="preserve">Le dossier des formateurs et formatrices du premier degré a mobilisé le ministère cette </w:t>
      </w:r>
      <w:r w:rsidRPr="00251C5A">
        <w:rPr>
          <w:rFonts w:ascii="Tahoma" w:hAnsi="Tahoma" w:cs="Tahoma"/>
        </w:rPr>
        <w:t>année, que cela soit par la réforme d’un CAFIPEMF resserré sur les apprentissages dits fondamentaux, ou dans les discussions du Grenelle de l’Éducation.</w:t>
      </w:r>
    </w:p>
    <w:p w:rsidR="00F74582" w:rsidRDefault="00F74582">
      <w:pPr>
        <w:spacing w:before="100" w:after="113" w:line="240" w:lineRule="auto"/>
        <w:jc w:val="both"/>
      </w:pPr>
      <w:r w:rsidRPr="00251C5A">
        <w:rPr>
          <w:rFonts w:ascii="Tahoma" w:hAnsi="Tahoma" w:cs="Tahoma"/>
        </w:rPr>
        <w:t xml:space="preserve">Lors de l’annonce des arbitrages du Grenelle le 26 mai dernier, Jean-Michel Blanquer indiquait souhaiter </w:t>
      </w:r>
      <w:r w:rsidRPr="00251C5A">
        <w:rPr>
          <w:rFonts w:ascii="Tahoma" w:hAnsi="Tahoma" w:cs="Tahoma"/>
          <w:i/>
          <w:iCs/>
        </w:rPr>
        <w:t>« répartir les évaluations d’établissements sur tous, IPR, IEN et CPC ou</w:t>
      </w:r>
      <w:r>
        <w:rPr>
          <w:rFonts w:ascii="Tahoma" w:hAnsi="Tahoma" w:cs="Tahoma"/>
          <w:i/>
          <w:iCs/>
        </w:rPr>
        <w:t xml:space="preserve"> CMI2D, pour créer une culture partagée de l’évaluation »</w:t>
      </w:r>
      <w:r>
        <w:rPr>
          <w:rFonts w:ascii="Tahoma" w:hAnsi="Tahoma" w:cs="Tahoma"/>
        </w:rPr>
        <w:t xml:space="preserve"> ainsi que </w:t>
      </w:r>
      <w:r>
        <w:rPr>
          <w:rFonts w:ascii="Tahoma" w:hAnsi="Tahoma" w:cs="Tahoma"/>
          <w:i/>
          <w:iCs/>
        </w:rPr>
        <w:t>« impliquer davantage [les CPC] dans le pilotage pédagogique »</w:t>
      </w:r>
      <w:r>
        <w:rPr>
          <w:rFonts w:ascii="Tahoma" w:hAnsi="Tahoma" w:cs="Tahoma"/>
        </w:rPr>
        <w:t xml:space="preserve"> et </w:t>
      </w:r>
      <w:r>
        <w:rPr>
          <w:rFonts w:ascii="Tahoma" w:hAnsi="Tahoma" w:cs="Tahoma"/>
          <w:i/>
          <w:iCs/>
        </w:rPr>
        <w:t>« pour ceux qui le souhaitent, mieux se préparer à s’engager dans des fonctions d’encadrement. »</w:t>
      </w:r>
      <w:r>
        <w:rPr>
          <w:rStyle w:val="FootnoteReference"/>
          <w:rFonts w:ascii="Tahoma" w:hAnsi="Tahoma" w:cs="Tahoma"/>
          <w:i/>
          <w:iCs/>
        </w:rPr>
        <w:footnoteReference w:id="1"/>
      </w:r>
    </w:p>
    <w:p w:rsidR="00F74582" w:rsidRDefault="00F74582">
      <w:pPr>
        <w:spacing w:before="100" w:after="113" w:line="240" w:lineRule="auto"/>
        <w:jc w:val="both"/>
      </w:pPr>
    </w:p>
    <w:p w:rsidR="00F74582" w:rsidRDefault="00F74582">
      <w:pPr>
        <w:spacing w:before="100" w:after="113" w:line="240" w:lineRule="auto"/>
        <w:jc w:val="both"/>
      </w:pPr>
      <w:r>
        <w:rPr>
          <w:rFonts w:ascii="Tahoma" w:hAnsi="Tahoma" w:cs="Tahoma"/>
        </w:rPr>
        <w:t xml:space="preserve">Dans le cadre du Groupe de Travail « esprit d’équipe », qui a essentiellement traité des équipes d’inspection, l’administration a annoncé vouloir clarifier les missions des CPC autour de </w:t>
      </w:r>
      <w:r>
        <w:rPr>
          <w:rFonts w:ascii="Tahoma" w:hAnsi="Tahoma" w:cs="Tahoma"/>
          <w:i/>
          <w:iCs/>
        </w:rPr>
        <w:t>« deux mouvements »</w:t>
      </w:r>
      <w:r>
        <w:rPr>
          <w:rFonts w:ascii="Tahoma" w:hAnsi="Tahoma" w:cs="Tahoma"/>
        </w:rPr>
        <w:t xml:space="preserve"> :</w:t>
      </w:r>
    </w:p>
    <w:p w:rsidR="00F74582" w:rsidRDefault="00F74582">
      <w:pPr>
        <w:numPr>
          <w:ilvl w:val="0"/>
          <w:numId w:val="2"/>
        </w:numPr>
        <w:spacing w:before="100" w:after="113" w:line="240" w:lineRule="auto"/>
        <w:jc w:val="both"/>
      </w:pPr>
      <w:r>
        <w:rPr>
          <w:rFonts w:ascii="Tahoma" w:hAnsi="Tahoma" w:cs="Tahoma"/>
          <w:i/>
          <w:iCs/>
        </w:rPr>
        <w:t>« Réaffirmer la primauté de leur mission de formation et d’accompagnement des enseignants et des équipes »</w:t>
      </w:r>
    </w:p>
    <w:p w:rsidR="00F74582" w:rsidRPr="00251C5A" w:rsidRDefault="00F74582">
      <w:pPr>
        <w:numPr>
          <w:ilvl w:val="0"/>
          <w:numId w:val="2"/>
        </w:numPr>
        <w:spacing w:before="100" w:after="113" w:line="240" w:lineRule="auto"/>
        <w:jc w:val="both"/>
      </w:pPr>
      <w:r>
        <w:rPr>
          <w:rFonts w:ascii="Tahoma" w:hAnsi="Tahoma" w:cs="Tahoma"/>
          <w:i/>
          <w:iCs/>
        </w:rPr>
        <w:t xml:space="preserve">« Permettre à ceux qui le souhaitent de s’impliquer davantage dans le pilotage </w:t>
      </w:r>
      <w:r w:rsidRPr="00251C5A">
        <w:rPr>
          <w:rFonts w:ascii="Tahoma" w:hAnsi="Tahoma" w:cs="Tahoma"/>
          <w:i/>
          <w:iCs/>
        </w:rPr>
        <w:t>pédagogique en vue de s’engager dans des fonctions d’encadrement. »</w:t>
      </w:r>
    </w:p>
    <w:p w:rsidR="00F74582" w:rsidRPr="00251C5A" w:rsidRDefault="00F74582">
      <w:pPr>
        <w:spacing w:before="100" w:after="113" w:line="240" w:lineRule="auto"/>
        <w:jc w:val="both"/>
      </w:pPr>
      <w:r w:rsidRPr="00251C5A">
        <w:rPr>
          <w:rFonts w:ascii="Tahoma" w:hAnsi="Tahoma" w:cs="Tahoma"/>
        </w:rPr>
        <w:t>Par ailleurs, ont été annoncées la création à la rentrée 2022 d’une centaine de postes de CPC et une augmentation de 500 € des indemnités destinée aux seuls CPC.</w:t>
      </w:r>
    </w:p>
    <w:p w:rsidR="00F74582" w:rsidRPr="00251C5A" w:rsidRDefault="00F74582">
      <w:pPr>
        <w:spacing w:before="100" w:after="113" w:line="240" w:lineRule="auto"/>
        <w:jc w:val="both"/>
      </w:pPr>
    </w:p>
    <w:p w:rsidR="00F74582" w:rsidRPr="00251C5A" w:rsidRDefault="00F74582">
      <w:pPr>
        <w:spacing w:before="100" w:after="113" w:line="240" w:lineRule="auto"/>
        <w:jc w:val="both"/>
      </w:pPr>
      <w:r>
        <w:rPr>
          <w:rFonts w:ascii="Tahoma" w:hAnsi="Tahoma" w:cs="Tahoma"/>
        </w:rPr>
        <w:t xml:space="preserve">Pour le SNUipp-FSU, la possibilité ouverte aux CPC volontaires d’aller vers des missions relevant du pilotage pédagogique et de fonction d’encadrement transforme radicalement la fonction des CPC, conduisant celles et ceux qui feraient ce choix à se constituer en nouvelle hiérarchie intermédiaire. Cela aura pour conséquence la dénaturation du métier de formateur et formatrice, et permettra un contrôle plus important sur les pratiques enseignantes. Par </w:t>
      </w:r>
      <w:r w:rsidRPr="00251C5A">
        <w:rPr>
          <w:rFonts w:ascii="Tahoma" w:hAnsi="Tahoma" w:cs="Tahoma"/>
        </w:rPr>
        <w:t>ailleurs, la notion de « volontariat » contrevient à la définition des missions dans la Fonction publique, qui garantit un cadre clair aux personnels comme aux usager-es.</w:t>
      </w:r>
    </w:p>
    <w:p w:rsidR="00F74582" w:rsidRDefault="00F74582">
      <w:pPr>
        <w:spacing w:before="100" w:after="113" w:line="240" w:lineRule="auto"/>
        <w:jc w:val="both"/>
      </w:pPr>
      <w:r>
        <w:rPr>
          <w:rFonts w:ascii="Tahoma" w:hAnsi="Tahoma" w:cs="Tahoma"/>
        </w:rPr>
        <w:t>Les annonces indemnitaires excluent de fait les PEMF, oublié-es des GT et du Grenelle.</w:t>
      </w:r>
    </w:p>
    <w:p w:rsidR="00F74582" w:rsidRPr="00251C5A" w:rsidRDefault="00F74582">
      <w:pPr>
        <w:spacing w:before="100" w:after="113" w:line="240" w:lineRule="auto"/>
        <w:jc w:val="both"/>
      </w:pPr>
      <w:r>
        <w:rPr>
          <w:rFonts w:ascii="Tahoma" w:hAnsi="Tahoma" w:cs="Tahoma"/>
        </w:rPr>
        <w:t xml:space="preserve">Enfin, la création de 100 postes est dérisoire si on la rapporte à l’intensification et la surcharge de travail des formatrices et formateurs. Par ailleurs, elle reste vaine tant que ne </w:t>
      </w:r>
      <w:r w:rsidRPr="00251C5A">
        <w:rPr>
          <w:rFonts w:ascii="Tahoma" w:hAnsi="Tahoma" w:cs="Tahoma"/>
        </w:rPr>
        <w:t>sont pas traitées les raisons de la désaffection des postes de CPC, dont témoigne la multiplication des faisant-fonction.</w:t>
      </w:r>
    </w:p>
    <w:p w:rsidR="00F74582" w:rsidRPr="00251C5A" w:rsidRDefault="00F74582">
      <w:pPr>
        <w:spacing w:before="100" w:after="113" w:line="240" w:lineRule="auto"/>
        <w:jc w:val="both"/>
      </w:pPr>
    </w:p>
    <w:p w:rsidR="00F74582" w:rsidRDefault="00F74582">
      <w:pPr>
        <w:spacing w:before="100" w:after="113" w:line="240" w:lineRule="auto"/>
        <w:jc w:val="both"/>
      </w:pPr>
      <w:r>
        <w:rPr>
          <w:rFonts w:ascii="Tahoma" w:hAnsi="Tahoma" w:cs="Tahoma"/>
        </w:rPr>
        <w:t>Pour le SNUipp-FSU, la qualité de la formation continue et le respect des conditions de travail des formatrices et formateurs nécessitent :</w:t>
      </w:r>
    </w:p>
    <w:p w:rsidR="00F74582" w:rsidRDefault="00F74582">
      <w:pPr>
        <w:numPr>
          <w:ilvl w:val="0"/>
          <w:numId w:val="3"/>
        </w:numPr>
        <w:spacing w:before="100" w:after="113" w:line="240" w:lineRule="auto"/>
        <w:jc w:val="both"/>
      </w:pPr>
      <w:r>
        <w:rPr>
          <w:rFonts w:ascii="Tahoma" w:hAnsi="Tahoma" w:cs="Tahoma"/>
        </w:rPr>
        <w:t>des formations qui répondent aux besoins que les enseignant·es formulent ;</w:t>
      </w:r>
    </w:p>
    <w:p w:rsidR="00F74582" w:rsidRDefault="00F74582">
      <w:pPr>
        <w:numPr>
          <w:ilvl w:val="0"/>
          <w:numId w:val="3"/>
        </w:numPr>
        <w:spacing w:before="100" w:after="113" w:line="240" w:lineRule="auto"/>
        <w:jc w:val="both"/>
      </w:pPr>
      <w:r>
        <w:rPr>
          <w:rFonts w:ascii="Tahoma" w:hAnsi="Tahoma" w:cs="Tahoma"/>
        </w:rPr>
        <w:t>une formation menée entre pairs, sans contrôle hiérarchique ;</w:t>
      </w:r>
    </w:p>
    <w:p w:rsidR="00F74582" w:rsidRDefault="00F74582">
      <w:pPr>
        <w:numPr>
          <w:ilvl w:val="0"/>
          <w:numId w:val="3"/>
        </w:numPr>
        <w:spacing w:before="100" w:after="113" w:line="240" w:lineRule="auto"/>
        <w:jc w:val="both"/>
      </w:pPr>
      <w:r>
        <w:rPr>
          <w:rFonts w:ascii="Tahoma" w:hAnsi="Tahoma" w:cs="Tahoma"/>
        </w:rPr>
        <w:t>une déconnexion par rapport au déroulement de carrière ;</w:t>
      </w:r>
    </w:p>
    <w:p w:rsidR="00F74582" w:rsidRPr="00084AA1" w:rsidRDefault="00F74582">
      <w:pPr>
        <w:numPr>
          <w:ilvl w:val="0"/>
          <w:numId w:val="3"/>
        </w:numPr>
        <w:spacing w:before="100" w:after="113" w:line="240" w:lineRule="auto"/>
        <w:jc w:val="both"/>
        <w:rPr>
          <w:rFonts w:ascii="Tahoma" w:hAnsi="Tahoma" w:cs="Tahoma"/>
        </w:rPr>
      </w:pPr>
      <w:r>
        <w:rPr>
          <w:rFonts w:ascii="Tahoma" w:hAnsi="Tahoma" w:cs="Tahoma"/>
        </w:rPr>
        <w:t xml:space="preserve">un recentrage des missions des formatrices et formateurs sur les tâches </w:t>
      </w:r>
      <w:r w:rsidRPr="00084AA1">
        <w:rPr>
          <w:rFonts w:ascii="Tahoma" w:hAnsi="Tahoma" w:cs="Tahoma"/>
        </w:rPr>
        <w:t>d’élaboration et de conduite de situations de formation.</w:t>
      </w:r>
    </w:p>
    <w:p w:rsidR="00F74582" w:rsidRPr="00084AA1" w:rsidRDefault="00F74582">
      <w:pPr>
        <w:spacing w:before="100" w:after="113" w:line="240" w:lineRule="auto"/>
        <w:jc w:val="both"/>
        <w:rPr>
          <w:rFonts w:ascii="Tahoma" w:hAnsi="Tahoma" w:cs="Tahoma"/>
        </w:rPr>
      </w:pPr>
    </w:p>
    <w:p w:rsidR="00F74582" w:rsidRPr="00084AA1" w:rsidRDefault="00F74582">
      <w:pPr>
        <w:spacing w:before="100" w:after="113" w:line="240" w:lineRule="auto"/>
        <w:jc w:val="both"/>
        <w:rPr>
          <w:rFonts w:ascii="Tahoma" w:hAnsi="Tahoma" w:cs="Tahoma"/>
        </w:rPr>
      </w:pPr>
      <w:r w:rsidRPr="00084AA1">
        <w:rPr>
          <w:rFonts w:ascii="Tahoma" w:hAnsi="Tahoma" w:cs="Tahoma"/>
        </w:rPr>
        <w:t>Sur invitation de l’ANCPetAF, nous avons tenté de formuler une expression commune sur la situation des formateurs·trices du 1</w:t>
      </w:r>
      <w:r w:rsidRPr="00084AA1">
        <w:rPr>
          <w:rFonts w:ascii="Tahoma" w:hAnsi="Tahoma" w:cs="Tahoma"/>
          <w:vertAlign w:val="superscript"/>
        </w:rPr>
        <w:t>er</w:t>
      </w:r>
      <w:r w:rsidRPr="00084AA1">
        <w:rPr>
          <w:rFonts w:ascii="Tahoma" w:hAnsi="Tahoma" w:cs="Tahoma"/>
        </w:rPr>
        <w:t xml:space="preserve"> degré, mais les divergences d’appréciation du GT « Esprit d’équipe » avec le SGEN-CFDT et le SE-UNSA ont empêché</w:t>
      </w:r>
      <w:r>
        <w:rPr>
          <w:rFonts w:ascii="Tahoma" w:hAnsi="Tahoma" w:cs="Tahoma"/>
        </w:rPr>
        <w:t xml:space="preserve"> pour l’instant </w:t>
      </w:r>
      <w:r w:rsidRPr="00084AA1">
        <w:rPr>
          <w:rFonts w:ascii="Tahoma" w:hAnsi="Tahoma" w:cs="Tahoma"/>
        </w:rPr>
        <w:t>la réalisation de cette tribune.</w:t>
      </w:r>
    </w:p>
    <w:p w:rsidR="00F74582" w:rsidRPr="00084AA1" w:rsidRDefault="00F74582">
      <w:pPr>
        <w:spacing w:after="0" w:line="240" w:lineRule="auto"/>
        <w:jc w:val="both"/>
        <w:rPr>
          <w:rFonts w:ascii="Tahoma" w:hAnsi="Tahoma" w:cs="Tahoma"/>
        </w:rPr>
      </w:pPr>
    </w:p>
    <w:p w:rsidR="00F74582" w:rsidRPr="00084AA1" w:rsidRDefault="00F74582">
      <w:pPr>
        <w:spacing w:after="0" w:line="240" w:lineRule="auto"/>
        <w:jc w:val="both"/>
        <w:rPr>
          <w:rFonts w:ascii="Tahoma" w:hAnsi="Tahoma" w:cs="Tahoma"/>
        </w:rPr>
      </w:pPr>
    </w:p>
    <w:p w:rsidR="00F74582" w:rsidRPr="006B26D3" w:rsidRDefault="00F74582">
      <w:pPr>
        <w:jc w:val="right"/>
        <w:rPr>
          <w:sz w:val="28"/>
        </w:rPr>
      </w:pPr>
    </w:p>
    <w:sectPr w:rsidR="00F74582" w:rsidRPr="006B26D3" w:rsidSect="00D022B9">
      <w:pgSz w:w="11906" w:h="16838"/>
      <w:pgMar w:top="1417" w:right="1417" w:bottom="1417" w:left="1417" w:header="720" w:footer="720" w:gutter="0"/>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82" w:rsidRDefault="00F74582" w:rsidP="004D384D">
      <w:pPr>
        <w:spacing w:after="0" w:line="240" w:lineRule="auto"/>
      </w:pPr>
      <w:r>
        <w:separator/>
      </w:r>
    </w:p>
  </w:endnote>
  <w:endnote w:type="continuationSeparator" w:id="0">
    <w:p w:rsidR="00F74582" w:rsidRDefault="00F74582" w:rsidP="004D3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font303">
    <w:altName w:val="Calibri"/>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FreeSans">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ohit Devanagari">
    <w:altName w:val="Calibri"/>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82" w:rsidRDefault="00F74582" w:rsidP="004D384D">
      <w:pPr>
        <w:spacing w:after="0" w:line="240" w:lineRule="auto"/>
      </w:pPr>
      <w:r>
        <w:separator/>
      </w:r>
    </w:p>
  </w:footnote>
  <w:footnote w:type="continuationSeparator" w:id="0">
    <w:p w:rsidR="00F74582" w:rsidRDefault="00F74582" w:rsidP="004D384D">
      <w:pPr>
        <w:spacing w:after="0" w:line="240" w:lineRule="auto"/>
      </w:pPr>
      <w:r>
        <w:continuationSeparator/>
      </w:r>
    </w:p>
  </w:footnote>
  <w:footnote w:id="1">
    <w:p w:rsidR="00F74582" w:rsidRDefault="00F74582">
      <w:pPr>
        <w:pStyle w:val="FootnoteText"/>
      </w:pPr>
      <w:r>
        <w:rPr>
          <w:rStyle w:val="FootnoteReference"/>
        </w:rPr>
        <w:footnoteRef/>
      </w:r>
      <w:r>
        <w:t xml:space="preserve"> Les 12 engagements au service des personnels et des élèves, site du MEN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1"/>
      <w:numFmt w:val="bullet"/>
      <w:lvlText w:val=""/>
      <w:lvlJc w:val="left"/>
      <w:pPr>
        <w:tabs>
          <w:tab w:val="num" w:pos="1005"/>
        </w:tabs>
        <w:ind w:left="1005" w:hanging="360"/>
      </w:pPr>
      <w:rPr>
        <w:rFonts w:ascii="Symbol" w:hAnsi="Symbol"/>
      </w:rPr>
    </w:lvl>
    <w:lvl w:ilvl="1">
      <w:start w:val="1"/>
      <w:numFmt w:val="bullet"/>
      <w:lvlText w:val="◦"/>
      <w:lvlJc w:val="left"/>
      <w:pPr>
        <w:tabs>
          <w:tab w:val="num" w:pos="1365"/>
        </w:tabs>
        <w:ind w:left="1365" w:hanging="360"/>
      </w:pPr>
      <w:rPr>
        <w:rFonts w:ascii="OpenSymbol" w:hAnsi="OpenSymbol"/>
      </w:rPr>
    </w:lvl>
    <w:lvl w:ilvl="2">
      <w:start w:val="1"/>
      <w:numFmt w:val="bullet"/>
      <w:lvlText w:val="▪"/>
      <w:lvlJc w:val="left"/>
      <w:pPr>
        <w:tabs>
          <w:tab w:val="num" w:pos="1725"/>
        </w:tabs>
        <w:ind w:left="1725" w:hanging="360"/>
      </w:pPr>
      <w:rPr>
        <w:rFonts w:ascii="OpenSymbol" w:hAnsi="OpenSymbol"/>
      </w:rPr>
    </w:lvl>
    <w:lvl w:ilvl="3">
      <w:start w:val="1"/>
      <w:numFmt w:val="bullet"/>
      <w:lvlText w:val=""/>
      <w:lvlJc w:val="left"/>
      <w:pPr>
        <w:tabs>
          <w:tab w:val="num" w:pos="2085"/>
        </w:tabs>
        <w:ind w:left="2085" w:hanging="360"/>
      </w:pPr>
      <w:rPr>
        <w:rFonts w:ascii="Symbol" w:hAnsi="Symbol"/>
      </w:rPr>
    </w:lvl>
    <w:lvl w:ilvl="4">
      <w:start w:val="1"/>
      <w:numFmt w:val="bullet"/>
      <w:lvlText w:val="◦"/>
      <w:lvlJc w:val="left"/>
      <w:pPr>
        <w:tabs>
          <w:tab w:val="num" w:pos="2445"/>
        </w:tabs>
        <w:ind w:left="2445" w:hanging="360"/>
      </w:pPr>
      <w:rPr>
        <w:rFonts w:ascii="OpenSymbol" w:hAnsi="OpenSymbol"/>
      </w:rPr>
    </w:lvl>
    <w:lvl w:ilvl="5">
      <w:start w:val="1"/>
      <w:numFmt w:val="bullet"/>
      <w:lvlText w:val="▪"/>
      <w:lvlJc w:val="left"/>
      <w:pPr>
        <w:tabs>
          <w:tab w:val="num" w:pos="2805"/>
        </w:tabs>
        <w:ind w:left="2805" w:hanging="360"/>
      </w:pPr>
      <w:rPr>
        <w:rFonts w:ascii="OpenSymbol" w:hAnsi="OpenSymbol"/>
      </w:rPr>
    </w:lvl>
    <w:lvl w:ilvl="6">
      <w:start w:val="1"/>
      <w:numFmt w:val="bullet"/>
      <w:lvlText w:val=""/>
      <w:lvlJc w:val="left"/>
      <w:pPr>
        <w:tabs>
          <w:tab w:val="num" w:pos="3165"/>
        </w:tabs>
        <w:ind w:left="3165" w:hanging="360"/>
      </w:pPr>
      <w:rPr>
        <w:rFonts w:ascii="Symbol" w:hAnsi="Symbol"/>
      </w:rPr>
    </w:lvl>
    <w:lvl w:ilvl="7">
      <w:start w:val="1"/>
      <w:numFmt w:val="bullet"/>
      <w:lvlText w:val="◦"/>
      <w:lvlJc w:val="left"/>
      <w:pPr>
        <w:tabs>
          <w:tab w:val="num" w:pos="3525"/>
        </w:tabs>
        <w:ind w:left="3525" w:hanging="360"/>
      </w:pPr>
      <w:rPr>
        <w:rFonts w:ascii="OpenSymbol" w:hAnsi="OpenSymbol"/>
      </w:rPr>
    </w:lvl>
    <w:lvl w:ilvl="8">
      <w:start w:val="1"/>
      <w:numFmt w:val="bullet"/>
      <w:lvlText w:val="▪"/>
      <w:lvlJc w:val="left"/>
      <w:pPr>
        <w:tabs>
          <w:tab w:val="num" w:pos="3885"/>
        </w:tabs>
        <w:ind w:left="3885" w:hanging="360"/>
      </w:pPr>
      <w:rPr>
        <w:rFonts w:ascii="OpenSymbol" w:hAnsi="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84F"/>
    <w:rsid w:val="00084AA1"/>
    <w:rsid w:val="00251C5A"/>
    <w:rsid w:val="0025596A"/>
    <w:rsid w:val="003F7E1D"/>
    <w:rsid w:val="004D384D"/>
    <w:rsid w:val="00686ACF"/>
    <w:rsid w:val="006B26D3"/>
    <w:rsid w:val="00862902"/>
    <w:rsid w:val="00B04AD2"/>
    <w:rsid w:val="00BC0FE8"/>
    <w:rsid w:val="00BC7C30"/>
    <w:rsid w:val="00BF1761"/>
    <w:rsid w:val="00CC5F76"/>
    <w:rsid w:val="00D022B9"/>
    <w:rsid w:val="00F74582"/>
    <w:rsid w:val="00F7584F"/>
    <w:rsid w:val="00F85F67"/>
    <w:rsid w:val="00F90D7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B9"/>
    <w:pPr>
      <w:suppressAutoHyphens/>
      <w:spacing w:after="200" w:line="276" w:lineRule="auto"/>
    </w:pPr>
    <w:rPr>
      <w:rFonts w:ascii="Calibri" w:hAnsi="Calibri" w:cs="font303"/>
      <w:kern w:val="2"/>
      <w:lang w:eastAsia="zh-CN"/>
    </w:rPr>
  </w:style>
  <w:style w:type="paragraph" w:styleId="Heading1">
    <w:name w:val="heading 1"/>
    <w:basedOn w:val="Titre2"/>
    <w:next w:val="BodyText"/>
    <w:link w:val="Heading1Char"/>
    <w:uiPriority w:val="99"/>
    <w:qFormat/>
    <w:rsid w:val="00D022B9"/>
    <w:pPr>
      <w:tabs>
        <w:tab w:val="num" w:pos="0"/>
      </w:tabs>
      <w:outlineLvl w:val="0"/>
    </w:pPr>
    <w:rPr>
      <w:rFonts w:ascii="Liberation Serif" w:eastAsia="Times New Roman" w:hAnsi="Liberation Serif" w:cs="FreeSans"/>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BB"/>
    <w:rPr>
      <w:rFonts w:asciiTheme="majorHAnsi" w:eastAsiaTheme="majorEastAsia" w:hAnsiTheme="majorHAnsi" w:cstheme="majorBidi"/>
      <w:b/>
      <w:bCs/>
      <w:kern w:val="32"/>
      <w:sz w:val="32"/>
      <w:szCs w:val="32"/>
      <w:lang w:eastAsia="zh-CN"/>
    </w:rPr>
  </w:style>
  <w:style w:type="character" w:customStyle="1" w:styleId="WW8Num1z0">
    <w:name w:val="WW8Num1z0"/>
    <w:uiPriority w:val="99"/>
    <w:rsid w:val="00D022B9"/>
  </w:style>
  <w:style w:type="character" w:customStyle="1" w:styleId="WW8Num1z1">
    <w:name w:val="WW8Num1z1"/>
    <w:uiPriority w:val="99"/>
    <w:rsid w:val="00D022B9"/>
  </w:style>
  <w:style w:type="character" w:customStyle="1" w:styleId="WW8Num1z2">
    <w:name w:val="WW8Num1z2"/>
    <w:uiPriority w:val="99"/>
    <w:rsid w:val="00D022B9"/>
  </w:style>
  <w:style w:type="character" w:customStyle="1" w:styleId="WW8Num1z3">
    <w:name w:val="WW8Num1z3"/>
    <w:uiPriority w:val="99"/>
    <w:rsid w:val="00D022B9"/>
  </w:style>
  <w:style w:type="character" w:customStyle="1" w:styleId="WW8Num1z4">
    <w:name w:val="WW8Num1z4"/>
    <w:uiPriority w:val="99"/>
    <w:rsid w:val="00D022B9"/>
  </w:style>
  <w:style w:type="character" w:customStyle="1" w:styleId="WW8Num1z5">
    <w:name w:val="WW8Num1z5"/>
    <w:uiPriority w:val="99"/>
    <w:rsid w:val="00D022B9"/>
  </w:style>
  <w:style w:type="character" w:customStyle="1" w:styleId="WW8Num1z6">
    <w:name w:val="WW8Num1z6"/>
    <w:uiPriority w:val="99"/>
    <w:rsid w:val="00D022B9"/>
  </w:style>
  <w:style w:type="character" w:customStyle="1" w:styleId="WW8Num1z7">
    <w:name w:val="WW8Num1z7"/>
    <w:uiPriority w:val="99"/>
    <w:rsid w:val="00D022B9"/>
  </w:style>
  <w:style w:type="character" w:customStyle="1" w:styleId="WW8Num1z8">
    <w:name w:val="WW8Num1z8"/>
    <w:uiPriority w:val="99"/>
    <w:rsid w:val="00D022B9"/>
  </w:style>
  <w:style w:type="character" w:customStyle="1" w:styleId="WW8Num2z0">
    <w:name w:val="WW8Num2z0"/>
    <w:uiPriority w:val="99"/>
    <w:rsid w:val="00D022B9"/>
    <w:rPr>
      <w:rFonts w:ascii="Symbol" w:eastAsia="Times New Roman" w:hAnsi="Symbol"/>
      <w:color w:val="auto"/>
    </w:rPr>
  </w:style>
  <w:style w:type="character" w:customStyle="1" w:styleId="WW8Num2z1">
    <w:name w:val="WW8Num2z1"/>
    <w:uiPriority w:val="99"/>
    <w:rsid w:val="00D022B9"/>
    <w:rPr>
      <w:rFonts w:ascii="OpenSymbol" w:hAnsi="OpenSymbol"/>
    </w:rPr>
  </w:style>
  <w:style w:type="character" w:customStyle="1" w:styleId="WW8Num3z0">
    <w:name w:val="WW8Num3z0"/>
    <w:uiPriority w:val="99"/>
    <w:rsid w:val="00D022B9"/>
    <w:rPr>
      <w:rFonts w:ascii="Symbol" w:hAnsi="Symbol"/>
    </w:rPr>
  </w:style>
  <w:style w:type="character" w:customStyle="1" w:styleId="WW8Num3z1">
    <w:name w:val="WW8Num3z1"/>
    <w:uiPriority w:val="99"/>
    <w:rsid w:val="00D022B9"/>
    <w:rPr>
      <w:rFonts w:ascii="OpenSymbol" w:hAnsi="OpenSymbol"/>
    </w:rPr>
  </w:style>
  <w:style w:type="character" w:customStyle="1" w:styleId="WW8Num4z0">
    <w:name w:val="WW8Num4z0"/>
    <w:uiPriority w:val="99"/>
    <w:rsid w:val="00D022B9"/>
    <w:rPr>
      <w:rFonts w:ascii="Symbol" w:hAnsi="Symbol"/>
    </w:rPr>
  </w:style>
  <w:style w:type="character" w:customStyle="1" w:styleId="WW8Num4z1">
    <w:name w:val="WW8Num4z1"/>
    <w:uiPriority w:val="99"/>
    <w:rsid w:val="00D022B9"/>
    <w:rPr>
      <w:rFonts w:ascii="OpenSymbol" w:hAnsi="OpenSymbol"/>
    </w:rPr>
  </w:style>
  <w:style w:type="character" w:customStyle="1" w:styleId="WW8Num5z0">
    <w:name w:val="WW8Num5z0"/>
    <w:uiPriority w:val="99"/>
    <w:rsid w:val="00D022B9"/>
    <w:rPr>
      <w:rFonts w:ascii="Symbol" w:hAnsi="Symbol"/>
    </w:rPr>
  </w:style>
  <w:style w:type="character" w:customStyle="1" w:styleId="WW8Num5z1">
    <w:name w:val="WW8Num5z1"/>
    <w:uiPriority w:val="99"/>
    <w:rsid w:val="00D022B9"/>
    <w:rPr>
      <w:rFonts w:ascii="OpenSymbol" w:hAnsi="OpenSymbol"/>
    </w:rPr>
  </w:style>
  <w:style w:type="character" w:customStyle="1" w:styleId="WW8Num6z0">
    <w:name w:val="WW8Num6z0"/>
    <w:uiPriority w:val="99"/>
    <w:rsid w:val="00D022B9"/>
  </w:style>
  <w:style w:type="character" w:customStyle="1" w:styleId="WW8Num6z1">
    <w:name w:val="WW8Num6z1"/>
    <w:uiPriority w:val="99"/>
    <w:rsid w:val="00D022B9"/>
  </w:style>
  <w:style w:type="character" w:customStyle="1" w:styleId="WW8Num6z2">
    <w:name w:val="WW8Num6z2"/>
    <w:uiPriority w:val="99"/>
    <w:rsid w:val="00D022B9"/>
  </w:style>
  <w:style w:type="character" w:customStyle="1" w:styleId="WW8Num6z3">
    <w:name w:val="WW8Num6z3"/>
    <w:uiPriority w:val="99"/>
    <w:rsid w:val="00D022B9"/>
  </w:style>
  <w:style w:type="character" w:customStyle="1" w:styleId="WW8Num6z4">
    <w:name w:val="WW8Num6z4"/>
    <w:uiPriority w:val="99"/>
    <w:rsid w:val="00D022B9"/>
  </w:style>
  <w:style w:type="character" w:customStyle="1" w:styleId="WW8Num6z5">
    <w:name w:val="WW8Num6z5"/>
    <w:uiPriority w:val="99"/>
    <w:rsid w:val="00D022B9"/>
  </w:style>
  <w:style w:type="character" w:customStyle="1" w:styleId="WW8Num6z6">
    <w:name w:val="WW8Num6z6"/>
    <w:uiPriority w:val="99"/>
    <w:rsid w:val="00D022B9"/>
  </w:style>
  <w:style w:type="character" w:customStyle="1" w:styleId="WW8Num6z7">
    <w:name w:val="WW8Num6z7"/>
    <w:uiPriority w:val="99"/>
    <w:rsid w:val="00D022B9"/>
  </w:style>
  <w:style w:type="character" w:customStyle="1" w:styleId="WW8Num6z8">
    <w:name w:val="WW8Num6z8"/>
    <w:uiPriority w:val="99"/>
    <w:rsid w:val="00D022B9"/>
  </w:style>
  <w:style w:type="character" w:customStyle="1" w:styleId="WW8Num5z2">
    <w:name w:val="WW8Num5z2"/>
    <w:uiPriority w:val="99"/>
    <w:rsid w:val="00D022B9"/>
  </w:style>
  <w:style w:type="character" w:customStyle="1" w:styleId="WW8Num5z3">
    <w:name w:val="WW8Num5z3"/>
    <w:uiPriority w:val="99"/>
    <w:rsid w:val="00D022B9"/>
  </w:style>
  <w:style w:type="character" w:customStyle="1" w:styleId="WW8Num5z4">
    <w:name w:val="WW8Num5z4"/>
    <w:uiPriority w:val="99"/>
    <w:rsid w:val="00D022B9"/>
  </w:style>
  <w:style w:type="character" w:customStyle="1" w:styleId="WW8Num5z5">
    <w:name w:val="WW8Num5z5"/>
    <w:uiPriority w:val="99"/>
    <w:rsid w:val="00D022B9"/>
  </w:style>
  <w:style w:type="character" w:customStyle="1" w:styleId="WW8Num5z6">
    <w:name w:val="WW8Num5z6"/>
    <w:uiPriority w:val="99"/>
    <w:rsid w:val="00D022B9"/>
  </w:style>
  <w:style w:type="character" w:customStyle="1" w:styleId="WW8Num5z7">
    <w:name w:val="WW8Num5z7"/>
    <w:uiPriority w:val="99"/>
    <w:rsid w:val="00D022B9"/>
  </w:style>
  <w:style w:type="character" w:customStyle="1" w:styleId="WW8Num5z8">
    <w:name w:val="WW8Num5z8"/>
    <w:uiPriority w:val="99"/>
    <w:rsid w:val="00D022B9"/>
  </w:style>
  <w:style w:type="character" w:customStyle="1" w:styleId="Policepardfaut1">
    <w:name w:val="Police par défaut1"/>
    <w:uiPriority w:val="99"/>
    <w:rsid w:val="00D022B9"/>
  </w:style>
  <w:style w:type="character" w:customStyle="1" w:styleId="Policepardfaut2">
    <w:name w:val="Police par défaut2"/>
    <w:uiPriority w:val="99"/>
    <w:rsid w:val="00D022B9"/>
  </w:style>
  <w:style w:type="character" w:customStyle="1" w:styleId="ListLabel1">
    <w:name w:val="ListLabel 1"/>
    <w:uiPriority w:val="99"/>
    <w:rsid w:val="00D022B9"/>
    <w:rPr>
      <w:rFonts w:eastAsia="Times New Roman"/>
    </w:rPr>
  </w:style>
  <w:style w:type="character" w:customStyle="1" w:styleId="ListLabel2">
    <w:name w:val="ListLabel 2"/>
    <w:uiPriority w:val="99"/>
    <w:rsid w:val="00D022B9"/>
  </w:style>
  <w:style w:type="character" w:customStyle="1" w:styleId="ListLabel3">
    <w:name w:val="ListLabel 3"/>
    <w:uiPriority w:val="99"/>
    <w:rsid w:val="00D022B9"/>
  </w:style>
  <w:style w:type="character" w:customStyle="1" w:styleId="ListLabel4">
    <w:name w:val="ListLabel 4"/>
    <w:uiPriority w:val="99"/>
    <w:rsid w:val="00D022B9"/>
  </w:style>
  <w:style w:type="character" w:customStyle="1" w:styleId="TextedebullesCar">
    <w:name w:val="Texte de bulles Car"/>
    <w:uiPriority w:val="99"/>
    <w:rsid w:val="00D022B9"/>
    <w:rPr>
      <w:rFonts w:ascii="Tahoma" w:hAnsi="Tahoma"/>
      <w:sz w:val="16"/>
    </w:rPr>
  </w:style>
  <w:style w:type="character" w:styleId="Hyperlink">
    <w:name w:val="Hyperlink"/>
    <w:basedOn w:val="DefaultParagraphFont"/>
    <w:uiPriority w:val="99"/>
    <w:rsid w:val="00D022B9"/>
    <w:rPr>
      <w:rFonts w:cs="Times New Roman"/>
      <w:color w:val="000080"/>
      <w:u w:val="single"/>
    </w:rPr>
  </w:style>
  <w:style w:type="character" w:styleId="FollowedHyperlink">
    <w:name w:val="FollowedHyperlink"/>
    <w:basedOn w:val="DefaultParagraphFont"/>
    <w:uiPriority w:val="99"/>
    <w:rsid w:val="00D022B9"/>
    <w:rPr>
      <w:rFonts w:cs="Times New Roman"/>
      <w:color w:val="800000"/>
      <w:u w:val="single"/>
    </w:rPr>
  </w:style>
  <w:style w:type="character" w:customStyle="1" w:styleId="Puces">
    <w:name w:val="Puces"/>
    <w:uiPriority w:val="99"/>
    <w:rsid w:val="00D022B9"/>
    <w:rPr>
      <w:rFonts w:ascii="OpenSymbol" w:eastAsia="Times New Roman" w:hAnsi="OpenSymbol"/>
    </w:rPr>
  </w:style>
  <w:style w:type="paragraph" w:customStyle="1" w:styleId="Titre2">
    <w:name w:val="Titre2"/>
    <w:basedOn w:val="Normal"/>
    <w:next w:val="BodyText"/>
    <w:uiPriority w:val="99"/>
    <w:rsid w:val="00D022B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D022B9"/>
    <w:pPr>
      <w:spacing w:after="140" w:line="288" w:lineRule="auto"/>
    </w:pPr>
  </w:style>
  <w:style w:type="character" w:customStyle="1" w:styleId="BodyTextChar">
    <w:name w:val="Body Text Char"/>
    <w:basedOn w:val="DefaultParagraphFont"/>
    <w:link w:val="BodyText"/>
    <w:uiPriority w:val="99"/>
    <w:semiHidden/>
    <w:rsid w:val="00783EBB"/>
    <w:rPr>
      <w:rFonts w:ascii="Calibri" w:hAnsi="Calibri" w:cs="font303"/>
      <w:kern w:val="2"/>
      <w:lang w:eastAsia="zh-CN"/>
    </w:rPr>
  </w:style>
  <w:style w:type="paragraph" w:styleId="List">
    <w:name w:val="List"/>
    <w:basedOn w:val="BodyText"/>
    <w:uiPriority w:val="99"/>
    <w:rsid w:val="00D022B9"/>
    <w:rPr>
      <w:rFonts w:cs="Arial"/>
    </w:rPr>
  </w:style>
  <w:style w:type="paragraph" w:styleId="Caption">
    <w:name w:val="caption"/>
    <w:basedOn w:val="Normal"/>
    <w:uiPriority w:val="99"/>
    <w:qFormat/>
    <w:rsid w:val="00D022B9"/>
    <w:pPr>
      <w:suppressLineNumbers/>
      <w:spacing w:before="120" w:after="120"/>
    </w:pPr>
    <w:rPr>
      <w:rFonts w:ascii="Liberation Sans" w:hAnsi="Liberation Sans" w:cs="Lohit Devanagari"/>
      <w:i/>
      <w:iCs/>
      <w:sz w:val="24"/>
      <w:szCs w:val="24"/>
    </w:rPr>
  </w:style>
  <w:style w:type="paragraph" w:customStyle="1" w:styleId="Index">
    <w:name w:val="Index"/>
    <w:basedOn w:val="Normal"/>
    <w:uiPriority w:val="99"/>
    <w:rsid w:val="00D022B9"/>
    <w:pPr>
      <w:suppressLineNumbers/>
    </w:pPr>
    <w:rPr>
      <w:rFonts w:cs="Arial"/>
    </w:rPr>
  </w:style>
  <w:style w:type="paragraph" w:customStyle="1" w:styleId="Titre1">
    <w:name w:val="Titre1"/>
    <w:basedOn w:val="Normal"/>
    <w:next w:val="BodyText"/>
    <w:uiPriority w:val="99"/>
    <w:rsid w:val="00D022B9"/>
    <w:pPr>
      <w:keepNext/>
      <w:spacing w:before="240" w:after="120"/>
    </w:pPr>
    <w:rPr>
      <w:rFonts w:ascii="Liberation Sans" w:hAnsi="Liberation Sans" w:cs="Lohit Devanagari"/>
      <w:sz w:val="28"/>
      <w:szCs w:val="28"/>
    </w:rPr>
  </w:style>
  <w:style w:type="paragraph" w:customStyle="1" w:styleId="Lgende1">
    <w:name w:val="Légende1"/>
    <w:basedOn w:val="Normal"/>
    <w:uiPriority w:val="99"/>
    <w:rsid w:val="00D022B9"/>
    <w:pPr>
      <w:suppressLineNumbers/>
      <w:spacing w:before="120" w:after="120"/>
    </w:pPr>
    <w:rPr>
      <w:rFonts w:cs="Arial"/>
      <w:i/>
      <w:iCs/>
      <w:sz w:val="24"/>
      <w:szCs w:val="24"/>
    </w:rPr>
  </w:style>
  <w:style w:type="paragraph" w:customStyle="1" w:styleId="Paragraphedeliste1">
    <w:name w:val="Paragraphe de liste1"/>
    <w:basedOn w:val="Normal"/>
    <w:uiPriority w:val="99"/>
    <w:rsid w:val="00D022B9"/>
    <w:pPr>
      <w:ind w:left="720"/>
      <w:contextualSpacing/>
    </w:pPr>
  </w:style>
  <w:style w:type="paragraph" w:customStyle="1" w:styleId="western">
    <w:name w:val="western"/>
    <w:basedOn w:val="Normal"/>
    <w:uiPriority w:val="99"/>
    <w:rsid w:val="00D022B9"/>
    <w:pPr>
      <w:spacing w:before="280" w:after="142" w:line="288" w:lineRule="auto"/>
    </w:pPr>
    <w:rPr>
      <w:rFonts w:cs="Times New Roman"/>
      <w:color w:val="00000A"/>
    </w:rPr>
  </w:style>
  <w:style w:type="paragraph" w:customStyle="1" w:styleId="Textedebulles1">
    <w:name w:val="Texte de bulles1"/>
    <w:basedOn w:val="Normal"/>
    <w:uiPriority w:val="99"/>
    <w:rsid w:val="00D022B9"/>
    <w:pPr>
      <w:spacing w:after="0" w:line="240" w:lineRule="auto"/>
    </w:pPr>
    <w:rPr>
      <w:rFonts w:ascii="Tahoma" w:hAnsi="Tahoma" w:cs="Tahoma"/>
      <w:sz w:val="16"/>
      <w:szCs w:val="16"/>
    </w:rPr>
  </w:style>
  <w:style w:type="paragraph" w:customStyle="1" w:styleId="WW-Standard">
    <w:name w:val="WW-Standard"/>
    <w:uiPriority w:val="99"/>
    <w:rsid w:val="00D022B9"/>
    <w:pPr>
      <w:widowControl w:val="0"/>
      <w:suppressAutoHyphens/>
      <w:spacing w:after="200" w:line="276" w:lineRule="auto"/>
      <w:textAlignment w:val="baseline"/>
    </w:pPr>
    <w:rPr>
      <w:rFonts w:eastAsia="SimSun" w:cs="Mangal"/>
      <w:color w:val="00000A"/>
      <w:kern w:val="2"/>
      <w:sz w:val="24"/>
      <w:szCs w:val="24"/>
      <w:lang w:eastAsia="zh-CN" w:bidi="hi-IN"/>
    </w:rPr>
  </w:style>
  <w:style w:type="paragraph" w:styleId="FootnoteText">
    <w:name w:val="footnote text"/>
    <w:basedOn w:val="Normal"/>
    <w:link w:val="FootnoteTextChar"/>
    <w:uiPriority w:val="99"/>
    <w:semiHidden/>
    <w:rsid w:val="004D384D"/>
    <w:rPr>
      <w:rFonts w:cs="Times New Roman"/>
      <w:sz w:val="20"/>
      <w:szCs w:val="20"/>
    </w:rPr>
  </w:style>
  <w:style w:type="character" w:customStyle="1" w:styleId="FootnoteTextChar">
    <w:name w:val="Footnote Text Char"/>
    <w:basedOn w:val="DefaultParagraphFont"/>
    <w:link w:val="FootnoteText"/>
    <w:uiPriority w:val="99"/>
    <w:semiHidden/>
    <w:locked/>
    <w:rsid w:val="004D384D"/>
    <w:rPr>
      <w:rFonts w:ascii="Calibri" w:eastAsia="Times New Roman" w:hAnsi="Calibri"/>
      <w:kern w:val="2"/>
      <w:lang w:eastAsia="zh-CN"/>
    </w:rPr>
  </w:style>
  <w:style w:type="character" w:styleId="FootnoteReference">
    <w:name w:val="footnote reference"/>
    <w:basedOn w:val="DefaultParagraphFont"/>
    <w:uiPriority w:val="99"/>
    <w:semiHidden/>
    <w:rsid w:val="004D384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482</Words>
  <Characters>2652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des formateurs-trices</dc:title>
  <dc:subject/>
  <dc:creator>pierre garnier</dc:creator>
  <cp:keywords/>
  <dc:description/>
  <cp:lastModifiedBy>SNUipp-FSU 38</cp:lastModifiedBy>
  <cp:revision>2</cp:revision>
  <cp:lastPrinted>2021-01-26T08:57:00Z</cp:lastPrinted>
  <dcterms:created xsi:type="dcterms:W3CDTF">2021-07-08T10:17:00Z</dcterms:created>
  <dcterms:modified xsi:type="dcterms:W3CDTF">2021-07-08T10:17:00Z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