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7D1" w:rsidRDefault="00AC67D1" w:rsidP="008E1DCC">
      <w:pPr>
        <w:jc w:val="both"/>
        <w:rPr>
          <w:rFonts w:ascii="Tahoma" w:hAnsi="Tahoma" w:cs="Tahoma"/>
          <w:b/>
          <w:bCs/>
          <w:sz w:val="32"/>
          <w:szCs w:val="32"/>
        </w:rPr>
      </w:pPr>
    </w:p>
    <w:p w:rsidR="00AC67D1" w:rsidRDefault="00AC67D1" w:rsidP="0077520F">
      <w:pPr>
        <w:jc w:val="center"/>
        <w:rPr>
          <w:rFonts w:ascii="Tahoma" w:hAnsi="Tahoma" w:cs="Tahoma"/>
          <w:b/>
          <w:bCs/>
          <w:sz w:val="32"/>
          <w:szCs w:val="32"/>
        </w:rPr>
      </w:pPr>
      <w:r>
        <w:rPr>
          <w:rFonts w:ascii="Tahoma" w:hAnsi="Tahoma" w:cs="Tahoma"/>
          <w:b/>
          <w:bCs/>
          <w:sz w:val="32"/>
          <w:szCs w:val="32"/>
        </w:rPr>
        <w:t>AESH : encore beaucoup à faire</w:t>
      </w:r>
    </w:p>
    <w:p w:rsidR="00AC67D1" w:rsidRDefault="00AC67D1" w:rsidP="008E1DCC">
      <w:pPr>
        <w:rPr>
          <w:rFonts w:ascii="Tahoma" w:hAnsi="Tahoma" w:cs="Tahoma"/>
          <w:b/>
          <w:bCs/>
          <w:sz w:val="32"/>
          <w:szCs w:val="32"/>
        </w:rPr>
      </w:pPr>
    </w:p>
    <w:p w:rsidR="00AC67D1" w:rsidRDefault="00AC67D1" w:rsidP="008E1DCC">
      <w:pPr>
        <w:pStyle w:val="NormalWeb"/>
        <w:spacing w:before="0" w:beforeAutospacing="0" w:after="0"/>
        <w:jc w:val="both"/>
        <w:rPr>
          <w:rFonts w:ascii="Tahoma" w:hAnsi="Tahoma" w:cs="Tahoma"/>
          <w:bCs/>
        </w:rPr>
      </w:pPr>
    </w:p>
    <w:p w:rsidR="00AC67D1" w:rsidRDefault="00AC67D1" w:rsidP="00F325F1">
      <w:pPr>
        <w:pStyle w:val="NormalWeb"/>
        <w:spacing w:before="0" w:beforeAutospacing="0" w:after="0"/>
        <w:jc w:val="both"/>
        <w:rPr>
          <w:rFonts w:ascii="Tahoma" w:hAnsi="Tahoma" w:cs="Tahoma"/>
          <w:color w:val="000000"/>
        </w:rPr>
      </w:pPr>
      <w:r>
        <w:rPr>
          <w:rFonts w:ascii="Tahoma" w:hAnsi="Tahoma" w:cs="Tahoma"/>
          <w:color w:val="000000"/>
        </w:rPr>
        <w:t>Le ministère a été contraint d’engager des discussions sur les rémunérations et les temps de travail après la mobilisation en nombre des AESH partout en France, en avril puis en juin. Toutefois, à défaut d’engager un temps de négociation spécifique portant sur toutes les revendications des AESH, la question a été reléguée dans le groupe de travail « Amélioration du service public » de l’agenda social du Grenelle.</w:t>
      </w:r>
    </w:p>
    <w:p w:rsidR="00AC67D1" w:rsidRDefault="00AC67D1" w:rsidP="00F325F1">
      <w:pPr>
        <w:pStyle w:val="NormalWeb"/>
        <w:spacing w:before="0" w:beforeAutospacing="0" w:after="0"/>
        <w:jc w:val="both"/>
        <w:rPr>
          <w:rFonts w:ascii="Tahoma" w:hAnsi="Tahoma" w:cs="Tahoma"/>
          <w:color w:val="000000"/>
        </w:rPr>
      </w:pPr>
    </w:p>
    <w:p w:rsidR="00AC67D1" w:rsidRDefault="00AC67D1" w:rsidP="00F325F1">
      <w:pPr>
        <w:pStyle w:val="NormalWeb"/>
        <w:spacing w:before="0" w:beforeAutospacing="0" w:after="0"/>
        <w:jc w:val="both"/>
        <w:rPr>
          <w:rFonts w:ascii="Tahoma" w:hAnsi="Tahoma" w:cs="Tahoma"/>
          <w:color w:val="000000"/>
        </w:rPr>
      </w:pPr>
      <w:r>
        <w:rPr>
          <w:rFonts w:ascii="Tahoma" w:hAnsi="Tahoma" w:cs="Tahoma"/>
          <w:color w:val="000000"/>
        </w:rPr>
        <w:t xml:space="preserve">Trois groupes de travail ont permis de faire remonter les revendications et de demander l’élargissement des discussions aux conditions de travail, à la formation et aux PIAL. Pour autant le ministère est resté sur la base de l’ordre du jour initial </w:t>
      </w:r>
      <w:r w:rsidRPr="006F5AF4">
        <w:rPr>
          <w:rFonts w:ascii="Tahoma" w:hAnsi="Tahoma" w:cs="Tahoma"/>
          <w:color w:val="000000"/>
        </w:rPr>
        <w:t>et ne semble pas envisager d’autres groupes de travail concernant les sujets ignorés.</w:t>
      </w:r>
    </w:p>
    <w:p w:rsidR="00AC67D1" w:rsidRDefault="00AC67D1" w:rsidP="00F325F1">
      <w:pPr>
        <w:pStyle w:val="NormalWeb"/>
        <w:spacing w:before="0" w:beforeAutospacing="0" w:after="0"/>
        <w:jc w:val="both"/>
        <w:rPr>
          <w:rFonts w:ascii="Tahoma" w:hAnsi="Tahoma" w:cs="Tahoma"/>
          <w:color w:val="000000"/>
        </w:rPr>
      </w:pPr>
    </w:p>
    <w:p w:rsidR="00AC67D1" w:rsidRPr="003C7256" w:rsidRDefault="00AC67D1" w:rsidP="00F325F1">
      <w:pPr>
        <w:pStyle w:val="NormalWeb"/>
        <w:spacing w:before="0" w:beforeAutospacing="0" w:after="0"/>
        <w:jc w:val="both"/>
        <w:rPr>
          <w:rFonts w:ascii="Tahoma" w:hAnsi="Tahoma" w:cs="Tahoma"/>
          <w:b/>
          <w:bCs/>
          <w:color w:val="000000"/>
        </w:rPr>
      </w:pPr>
      <w:r>
        <w:rPr>
          <w:rFonts w:ascii="Tahoma" w:hAnsi="Tahoma" w:cs="Tahoma"/>
          <w:b/>
          <w:bCs/>
          <w:color w:val="000000"/>
        </w:rPr>
        <w:t>Les propositions</w:t>
      </w:r>
    </w:p>
    <w:p w:rsidR="00AC67D1" w:rsidRDefault="00AC67D1" w:rsidP="00F325F1">
      <w:pPr>
        <w:pStyle w:val="NormalWeb"/>
        <w:spacing w:before="0" w:beforeAutospacing="0" w:after="0"/>
        <w:jc w:val="both"/>
        <w:rPr>
          <w:rFonts w:ascii="Tahoma" w:hAnsi="Tahoma" w:cs="Tahoma"/>
          <w:color w:val="000000"/>
        </w:rPr>
      </w:pPr>
    </w:p>
    <w:p w:rsidR="00AC67D1" w:rsidRDefault="00AC67D1" w:rsidP="00F325F1">
      <w:pPr>
        <w:pStyle w:val="NormalWeb"/>
        <w:spacing w:before="0" w:beforeAutospacing="0" w:after="0"/>
        <w:jc w:val="both"/>
        <w:rPr>
          <w:rFonts w:ascii="Tahoma" w:hAnsi="Tahoma" w:cs="Tahoma"/>
          <w:color w:val="000000"/>
        </w:rPr>
      </w:pPr>
      <w:r>
        <w:rPr>
          <w:rFonts w:ascii="Tahoma" w:hAnsi="Tahoma" w:cs="Tahoma"/>
          <w:color w:val="000000"/>
        </w:rPr>
        <w:t>Les points abordés restent vagues, s’apparentant à des pistes de réflexion pour la plupart. Seule l’instauration d’une nouvelle grille de rémunérations fera l’objet d’un point spécifique lors d’un CTMEN prévu le 21 juillet, pour une mise en œuvre en janvier 2022.</w:t>
      </w:r>
    </w:p>
    <w:p w:rsidR="00AC67D1" w:rsidRDefault="00AC67D1" w:rsidP="00F325F1">
      <w:pPr>
        <w:pStyle w:val="NormalWeb"/>
        <w:spacing w:before="0" w:beforeAutospacing="0" w:after="0"/>
        <w:jc w:val="both"/>
        <w:rPr>
          <w:rFonts w:ascii="Tahoma" w:hAnsi="Tahoma" w:cs="Tahoma"/>
          <w:color w:val="000000"/>
        </w:rPr>
      </w:pPr>
    </w:p>
    <w:p w:rsidR="00AC67D1" w:rsidRPr="003C7256" w:rsidRDefault="00AC67D1" w:rsidP="003C7256">
      <w:pPr>
        <w:pStyle w:val="NormalWeb"/>
        <w:numPr>
          <w:ilvl w:val="0"/>
          <w:numId w:val="2"/>
        </w:numPr>
        <w:spacing w:before="0" w:beforeAutospacing="0" w:after="0"/>
        <w:jc w:val="both"/>
        <w:rPr>
          <w:rFonts w:ascii="Tahoma" w:hAnsi="Tahoma" w:cs="Tahoma"/>
          <w:b/>
          <w:bCs/>
          <w:color w:val="000000"/>
        </w:rPr>
      </w:pPr>
      <w:r w:rsidRPr="003C7256">
        <w:rPr>
          <w:rFonts w:ascii="Tahoma" w:hAnsi="Tahoma" w:cs="Tahoma"/>
          <w:b/>
          <w:bCs/>
          <w:color w:val="000000"/>
        </w:rPr>
        <w:t>Sur la revalorisation des rémunérations</w:t>
      </w:r>
    </w:p>
    <w:p w:rsidR="00AC67D1" w:rsidRDefault="00AC67D1" w:rsidP="003C7256">
      <w:pPr>
        <w:pStyle w:val="NormalWeb"/>
        <w:spacing w:before="0" w:beforeAutospacing="0" w:after="0"/>
        <w:ind w:left="720"/>
        <w:jc w:val="both"/>
        <w:rPr>
          <w:rFonts w:ascii="Tahoma" w:hAnsi="Tahoma" w:cs="Tahoma"/>
          <w:color w:val="000000"/>
        </w:rPr>
      </w:pPr>
    </w:p>
    <w:p w:rsidR="00AC67D1" w:rsidRDefault="00AC67D1" w:rsidP="003C7256">
      <w:pPr>
        <w:pStyle w:val="NormalWeb"/>
        <w:spacing w:before="0" w:beforeAutospacing="0" w:after="0"/>
        <w:jc w:val="both"/>
        <w:rPr>
          <w:rFonts w:ascii="Tahoma" w:hAnsi="Tahoma" w:cs="Tahoma"/>
          <w:color w:val="000000"/>
        </w:rPr>
      </w:pPr>
      <w:r>
        <w:rPr>
          <w:rFonts w:ascii="Tahoma" w:hAnsi="Tahoma" w:cs="Tahoma"/>
          <w:color w:val="000000"/>
        </w:rPr>
        <w:t>Une enveloppe de 60 millions d’euros est annoncée pour 2022. Le ministère reste flou sur les effets en termes de hausse de salaire pour les 121 000 AESH qui exercent dans les écoles et établissements scolaires.</w:t>
      </w:r>
    </w:p>
    <w:p w:rsidR="00AC67D1" w:rsidRDefault="00AC67D1" w:rsidP="003C7256">
      <w:pPr>
        <w:pStyle w:val="NormalWeb"/>
        <w:spacing w:before="0" w:beforeAutospacing="0" w:after="0"/>
        <w:jc w:val="both"/>
        <w:rPr>
          <w:rFonts w:ascii="Tahoma" w:hAnsi="Tahoma" w:cs="Tahoma"/>
          <w:color w:val="000000"/>
        </w:rPr>
      </w:pPr>
    </w:p>
    <w:p w:rsidR="00AC67D1" w:rsidRDefault="00AC67D1" w:rsidP="003C7256">
      <w:pPr>
        <w:pStyle w:val="NormalWeb"/>
        <w:spacing w:before="0" w:beforeAutospacing="0" w:after="0"/>
        <w:jc w:val="both"/>
        <w:rPr>
          <w:rFonts w:ascii="Tahoma" w:hAnsi="Tahoma" w:cs="Tahoma"/>
          <w:color w:val="000000"/>
        </w:rPr>
      </w:pPr>
      <w:r>
        <w:rPr>
          <w:rFonts w:ascii="Tahoma" w:hAnsi="Tahoma" w:cs="Tahoma"/>
          <w:color w:val="000000"/>
        </w:rPr>
        <w:t>Une nouvelle grille indiciaire comporterait 11 niveaux au lieu des 7 niveaux actuels, et se déroulerait de l’Indice Majoré (IM) 335 à l’IM 435 au lieu de l’IM 334 à l’IM 363 existants.</w:t>
      </w:r>
    </w:p>
    <w:p w:rsidR="00AC67D1" w:rsidRDefault="00AC67D1" w:rsidP="003C7256">
      <w:pPr>
        <w:pStyle w:val="NormalWeb"/>
        <w:spacing w:before="0" w:beforeAutospacing="0" w:after="0"/>
        <w:jc w:val="both"/>
        <w:rPr>
          <w:rFonts w:ascii="Tahoma" w:hAnsi="Tahoma" w:cs="Tahoma"/>
          <w:color w:val="000000"/>
        </w:rPr>
      </w:pPr>
      <w:r>
        <w:rPr>
          <w:rFonts w:ascii="Tahoma" w:hAnsi="Tahoma" w:cs="Tahoma"/>
          <w:color w:val="000000"/>
        </w:rPr>
        <w:t xml:space="preserve">Le ministère propose également un dispositif de progression automatique, à l’instar de mécanismes de carrière dont bénéficient les fonctionnaires. La rémunération évoluerait automatiquement tous les trois ans, sans être liée, comme c’est le cas aujourd’hui, à la conduite de l’entretien professionnel. </w:t>
      </w:r>
    </w:p>
    <w:p w:rsidR="00AC67D1" w:rsidRDefault="00AC67D1" w:rsidP="003C7256">
      <w:pPr>
        <w:pStyle w:val="NormalWeb"/>
        <w:spacing w:before="0" w:beforeAutospacing="0" w:after="0"/>
        <w:jc w:val="both"/>
        <w:rPr>
          <w:rFonts w:ascii="Tahoma" w:hAnsi="Tahoma" w:cs="Tahoma"/>
          <w:color w:val="000000"/>
        </w:rPr>
      </w:pPr>
      <w:r>
        <w:rPr>
          <w:rFonts w:ascii="Tahoma" w:hAnsi="Tahoma" w:cs="Tahoma"/>
          <w:color w:val="000000"/>
        </w:rPr>
        <w:t>Le reclassement dans cette nouvelle grille se ferait sur la base de 3 indices plancher correspondant à l’ancienneté des AESH dans la fonction : AESH en 1</w:t>
      </w:r>
      <w:r w:rsidRPr="009E18AA">
        <w:rPr>
          <w:rFonts w:ascii="Tahoma" w:hAnsi="Tahoma" w:cs="Tahoma"/>
          <w:color w:val="000000"/>
          <w:vertAlign w:val="superscript"/>
        </w:rPr>
        <w:t>er</w:t>
      </w:r>
      <w:r>
        <w:rPr>
          <w:rFonts w:ascii="Tahoma" w:hAnsi="Tahoma" w:cs="Tahoma"/>
          <w:color w:val="000000"/>
        </w:rPr>
        <w:t xml:space="preserve"> CDD (IM 335), AESH en 2</w:t>
      </w:r>
      <w:r w:rsidRPr="009E18AA">
        <w:rPr>
          <w:rFonts w:ascii="Tahoma" w:hAnsi="Tahoma" w:cs="Tahoma"/>
          <w:color w:val="000000"/>
          <w:vertAlign w:val="superscript"/>
        </w:rPr>
        <w:t>nd</w:t>
      </w:r>
      <w:r>
        <w:rPr>
          <w:rFonts w:ascii="Tahoma" w:hAnsi="Tahoma" w:cs="Tahoma"/>
          <w:color w:val="000000"/>
        </w:rPr>
        <w:t xml:space="preserve"> CDD (IM 345), AESH en CDI (IM 355).</w:t>
      </w:r>
    </w:p>
    <w:p w:rsidR="00AC67D1" w:rsidRDefault="00AC67D1" w:rsidP="003C7256">
      <w:pPr>
        <w:pStyle w:val="NormalWeb"/>
        <w:spacing w:before="0" w:beforeAutospacing="0" w:after="0"/>
        <w:jc w:val="both"/>
        <w:rPr>
          <w:rFonts w:ascii="Tahoma" w:hAnsi="Tahoma" w:cs="Tahoma"/>
          <w:color w:val="000000"/>
        </w:rPr>
      </w:pPr>
    </w:p>
    <w:p w:rsidR="00AC67D1" w:rsidRDefault="00AC67D1" w:rsidP="003C7256">
      <w:pPr>
        <w:pStyle w:val="NormalWeb"/>
        <w:spacing w:before="0" w:beforeAutospacing="0" w:after="0"/>
        <w:jc w:val="both"/>
        <w:rPr>
          <w:rFonts w:ascii="Tahoma" w:hAnsi="Tahoma" w:cs="Tahoma"/>
          <w:color w:val="000000"/>
        </w:rPr>
      </w:pPr>
      <w:r>
        <w:rPr>
          <w:rFonts w:ascii="Tahoma" w:hAnsi="Tahoma" w:cs="Tahoma"/>
          <w:color w:val="000000"/>
        </w:rPr>
        <w:t xml:space="preserve">Pour le ministère, cette proposition permet à la fois de donner une visibilité de </w:t>
      </w:r>
      <w:r w:rsidRPr="001F0B29">
        <w:rPr>
          <w:rFonts w:ascii="Tahoma" w:hAnsi="Tahoma" w:cs="Tahoma"/>
          <w:i/>
          <w:iCs/>
          <w:color w:val="000000"/>
        </w:rPr>
        <w:t>« carrière »</w:t>
      </w:r>
      <w:r>
        <w:rPr>
          <w:rFonts w:ascii="Tahoma" w:hAnsi="Tahoma" w:cs="Tahoma"/>
          <w:color w:val="000000"/>
        </w:rPr>
        <w:t xml:space="preserve"> aux AESH, de gommer les écarts de traitement d’une académie ou d’un employeur à l’autre, de corriger les effets liés à l’écrasement de l’actuelle grille de référence et de favoriser les AESH les plus ancien-nes en reclassant de façon plus avantageuse les AESH en CDI.</w:t>
      </w:r>
    </w:p>
    <w:p w:rsidR="00AC67D1" w:rsidRDefault="00AC67D1" w:rsidP="003C7256">
      <w:pPr>
        <w:pStyle w:val="NormalWeb"/>
        <w:spacing w:before="0" w:beforeAutospacing="0" w:after="0"/>
        <w:jc w:val="both"/>
        <w:rPr>
          <w:rFonts w:ascii="Tahoma" w:hAnsi="Tahoma" w:cs="Tahoma"/>
          <w:color w:val="000000"/>
        </w:rPr>
      </w:pPr>
    </w:p>
    <w:p w:rsidR="00AC67D1" w:rsidRDefault="00AC67D1" w:rsidP="006E3EB3">
      <w:pPr>
        <w:pStyle w:val="NormalWeb"/>
        <w:spacing w:before="0" w:beforeAutospacing="0" w:after="0"/>
        <w:jc w:val="center"/>
        <w:rPr>
          <w:rFonts w:ascii="Tahoma" w:hAnsi="Tahoma" w:cs="Tahoma"/>
          <w:color w:val="000000"/>
        </w:rPr>
      </w:pPr>
    </w:p>
    <w:tbl>
      <w:tblPr>
        <w:tblW w:w="3920" w:type="dxa"/>
        <w:tblInd w:w="80" w:type="dxa"/>
        <w:tblCellMar>
          <w:left w:w="70" w:type="dxa"/>
          <w:right w:w="70" w:type="dxa"/>
        </w:tblCellMar>
        <w:tblLook w:val="00A0"/>
      </w:tblPr>
      <w:tblGrid>
        <w:gridCol w:w="1300"/>
        <w:gridCol w:w="240"/>
        <w:gridCol w:w="1300"/>
        <w:gridCol w:w="1080"/>
      </w:tblGrid>
      <w:tr w:rsidR="00AC67D1" w:rsidRPr="005A744F" w:rsidTr="005A744F">
        <w:trPr>
          <w:trHeight w:val="980"/>
        </w:trPr>
        <w:tc>
          <w:tcPr>
            <w:tcW w:w="1300" w:type="dxa"/>
            <w:tcBorders>
              <w:top w:val="single" w:sz="8" w:space="0" w:color="auto"/>
              <w:left w:val="single" w:sz="8" w:space="0" w:color="auto"/>
              <w:bottom w:val="single" w:sz="8" w:space="0" w:color="auto"/>
              <w:right w:val="single" w:sz="8" w:space="0" w:color="auto"/>
            </w:tcBorders>
            <w:vAlign w:val="center"/>
          </w:tcPr>
          <w:p w:rsidR="00AC67D1" w:rsidRDefault="00AC67D1" w:rsidP="005A744F">
            <w:pPr>
              <w:suppressAutoHyphens w:val="0"/>
              <w:jc w:val="center"/>
              <w:rPr>
                <w:rFonts w:ascii="Tahoma" w:hAnsi="Tahoma" w:cs="Tahoma"/>
                <w:b/>
                <w:bCs/>
                <w:color w:val="000000"/>
                <w:kern w:val="0"/>
                <w:lang w:eastAsia="fr-FR"/>
              </w:rPr>
            </w:pPr>
            <w:r w:rsidRPr="005A744F">
              <w:rPr>
                <w:rFonts w:ascii="Tahoma" w:hAnsi="Tahoma" w:cs="Tahoma"/>
                <w:b/>
                <w:bCs/>
                <w:color w:val="000000"/>
                <w:kern w:val="0"/>
                <w:lang w:eastAsia="fr-FR"/>
              </w:rPr>
              <w:t>Grille de référence actuelle</w:t>
            </w:r>
          </w:p>
          <w:p w:rsidR="00AC67D1" w:rsidRPr="005A744F" w:rsidRDefault="00AC67D1" w:rsidP="005A744F">
            <w:pPr>
              <w:suppressAutoHyphens w:val="0"/>
              <w:jc w:val="center"/>
              <w:rPr>
                <w:rFonts w:ascii="Tahoma" w:hAnsi="Tahoma" w:cs="Tahoma"/>
                <w:b/>
                <w:bCs/>
                <w:color w:val="000000"/>
                <w:kern w:val="0"/>
                <w:lang w:eastAsia="fr-FR"/>
              </w:rPr>
            </w:pPr>
            <w:r>
              <w:rPr>
                <w:rFonts w:ascii="Tahoma" w:hAnsi="Tahoma" w:cs="Tahoma"/>
                <w:b/>
                <w:bCs/>
                <w:color w:val="000000"/>
                <w:kern w:val="0"/>
                <w:lang w:eastAsia="fr-FR"/>
              </w:rPr>
              <w:t>(IM)</w:t>
            </w:r>
          </w:p>
        </w:tc>
        <w:tc>
          <w:tcPr>
            <w:tcW w:w="240" w:type="dxa"/>
            <w:tcBorders>
              <w:top w:val="nil"/>
              <w:left w:val="nil"/>
              <w:bottom w:val="nil"/>
              <w:right w:val="nil"/>
            </w:tcBorders>
            <w:shd w:val="clear" w:color="000000" w:fill="BFBFBF"/>
            <w:vAlign w:val="center"/>
          </w:tcPr>
          <w:p w:rsidR="00AC67D1" w:rsidRPr="005A744F" w:rsidRDefault="00AC67D1" w:rsidP="005A744F">
            <w:pPr>
              <w:suppressAutoHyphens w:val="0"/>
              <w:jc w:val="center"/>
              <w:rPr>
                <w:rFonts w:ascii="Tahoma" w:hAnsi="Tahoma" w:cs="Tahoma"/>
                <w:b/>
                <w:bCs/>
                <w:color w:val="000000"/>
                <w:kern w:val="0"/>
                <w:lang w:eastAsia="fr-FR"/>
              </w:rPr>
            </w:pPr>
            <w:r w:rsidRPr="005A744F">
              <w:rPr>
                <w:rFonts w:ascii="Tahoma" w:hAnsi="Tahoma" w:cs="Tahoma"/>
                <w:b/>
                <w:bCs/>
                <w:color w:val="000000"/>
                <w:kern w:val="0"/>
                <w:lang w:eastAsia="fr-FR"/>
              </w:rPr>
              <w:t> </w:t>
            </w:r>
          </w:p>
        </w:tc>
        <w:tc>
          <w:tcPr>
            <w:tcW w:w="1300" w:type="dxa"/>
            <w:tcBorders>
              <w:top w:val="single" w:sz="8" w:space="0" w:color="auto"/>
              <w:left w:val="single" w:sz="8" w:space="0" w:color="auto"/>
              <w:bottom w:val="single" w:sz="8" w:space="0" w:color="auto"/>
              <w:right w:val="nil"/>
            </w:tcBorders>
            <w:vAlign w:val="center"/>
          </w:tcPr>
          <w:p w:rsidR="00AC67D1" w:rsidRDefault="00AC67D1" w:rsidP="005A744F">
            <w:pPr>
              <w:suppressAutoHyphens w:val="0"/>
              <w:jc w:val="center"/>
              <w:rPr>
                <w:rFonts w:ascii="Tahoma" w:hAnsi="Tahoma" w:cs="Tahoma"/>
                <w:b/>
                <w:bCs/>
                <w:color w:val="000000"/>
                <w:kern w:val="0"/>
                <w:lang w:eastAsia="fr-FR"/>
              </w:rPr>
            </w:pPr>
            <w:r w:rsidRPr="005A744F">
              <w:rPr>
                <w:rFonts w:ascii="Tahoma" w:hAnsi="Tahoma" w:cs="Tahoma"/>
                <w:b/>
                <w:bCs/>
                <w:color w:val="000000"/>
                <w:kern w:val="0"/>
                <w:lang w:eastAsia="fr-FR"/>
              </w:rPr>
              <w:t>Grille indiciaire cible</w:t>
            </w:r>
          </w:p>
          <w:p w:rsidR="00AC67D1" w:rsidRPr="005A744F" w:rsidRDefault="00AC67D1" w:rsidP="005A744F">
            <w:pPr>
              <w:suppressAutoHyphens w:val="0"/>
              <w:jc w:val="center"/>
              <w:rPr>
                <w:rFonts w:ascii="Tahoma" w:hAnsi="Tahoma" w:cs="Tahoma"/>
                <w:b/>
                <w:bCs/>
                <w:color w:val="000000"/>
                <w:kern w:val="0"/>
                <w:lang w:eastAsia="fr-FR"/>
              </w:rPr>
            </w:pPr>
            <w:r>
              <w:rPr>
                <w:rFonts w:ascii="Tahoma" w:hAnsi="Tahoma" w:cs="Tahoma"/>
                <w:b/>
                <w:bCs/>
                <w:color w:val="000000"/>
                <w:kern w:val="0"/>
                <w:lang w:eastAsia="fr-FR"/>
              </w:rPr>
              <w:t>(IM)</w:t>
            </w:r>
          </w:p>
        </w:tc>
        <w:tc>
          <w:tcPr>
            <w:tcW w:w="1080" w:type="dxa"/>
            <w:tcBorders>
              <w:top w:val="single" w:sz="8" w:space="0" w:color="auto"/>
              <w:left w:val="single" w:sz="8" w:space="0" w:color="auto"/>
              <w:bottom w:val="single" w:sz="8" w:space="0" w:color="auto"/>
              <w:right w:val="single" w:sz="8" w:space="0" w:color="auto"/>
            </w:tcBorders>
            <w:vAlign w:val="center"/>
          </w:tcPr>
          <w:p w:rsidR="00AC67D1" w:rsidRPr="005A744F" w:rsidRDefault="00AC67D1" w:rsidP="005A744F">
            <w:pPr>
              <w:suppressAutoHyphens w:val="0"/>
              <w:jc w:val="center"/>
              <w:rPr>
                <w:rFonts w:ascii="Tahoma" w:hAnsi="Tahoma" w:cs="Tahoma"/>
                <w:b/>
                <w:bCs/>
                <w:color w:val="000000"/>
                <w:kern w:val="0"/>
                <w:lang w:eastAsia="fr-FR"/>
              </w:rPr>
            </w:pPr>
            <w:r w:rsidRPr="005A744F">
              <w:rPr>
                <w:rFonts w:ascii="Tahoma" w:hAnsi="Tahoma" w:cs="Tahoma"/>
                <w:b/>
                <w:bCs/>
                <w:color w:val="000000"/>
                <w:kern w:val="0"/>
                <w:lang w:eastAsia="fr-FR"/>
              </w:rPr>
              <w:t>durée</w:t>
            </w:r>
          </w:p>
        </w:tc>
      </w:tr>
      <w:tr w:rsidR="00AC67D1" w:rsidRPr="005A744F" w:rsidTr="005A744F">
        <w:trPr>
          <w:trHeight w:val="320"/>
        </w:trPr>
        <w:tc>
          <w:tcPr>
            <w:tcW w:w="1300" w:type="dxa"/>
            <w:tcBorders>
              <w:top w:val="nil"/>
              <w:left w:val="single" w:sz="8" w:space="0" w:color="auto"/>
              <w:bottom w:val="single" w:sz="4" w:space="0" w:color="auto"/>
              <w:right w:val="single" w:sz="8" w:space="0" w:color="auto"/>
            </w:tcBorders>
            <w:noWrap/>
            <w:vAlign w:val="center"/>
          </w:tcPr>
          <w:p w:rsidR="00AC67D1" w:rsidRPr="005A744F" w:rsidRDefault="00AC67D1" w:rsidP="005A744F">
            <w:pPr>
              <w:suppressAutoHyphens w:val="0"/>
              <w:jc w:val="center"/>
              <w:rPr>
                <w:rFonts w:ascii="Calibri" w:hAnsi="Calibri" w:cs="Calibri"/>
                <w:color w:val="000000"/>
                <w:kern w:val="0"/>
                <w:lang w:eastAsia="fr-FR"/>
              </w:rPr>
            </w:pPr>
            <w:r w:rsidRPr="005A744F">
              <w:rPr>
                <w:rFonts w:ascii="Calibri" w:hAnsi="Calibri" w:cs="Calibri"/>
                <w:color w:val="000000"/>
                <w:kern w:val="0"/>
                <w:lang w:eastAsia="fr-FR"/>
              </w:rPr>
              <w:t>332</w:t>
            </w:r>
          </w:p>
        </w:tc>
        <w:tc>
          <w:tcPr>
            <w:tcW w:w="240" w:type="dxa"/>
            <w:tcBorders>
              <w:top w:val="nil"/>
              <w:left w:val="nil"/>
              <w:bottom w:val="nil"/>
              <w:right w:val="nil"/>
            </w:tcBorders>
            <w:shd w:val="clear" w:color="000000" w:fill="BFBFBF"/>
            <w:noWrap/>
            <w:vAlign w:val="center"/>
          </w:tcPr>
          <w:p w:rsidR="00AC67D1" w:rsidRPr="005A744F" w:rsidRDefault="00AC67D1" w:rsidP="005A744F">
            <w:pPr>
              <w:suppressAutoHyphens w:val="0"/>
              <w:jc w:val="center"/>
              <w:rPr>
                <w:rFonts w:ascii="Calibri" w:hAnsi="Calibri" w:cs="Calibri"/>
                <w:color w:val="000000"/>
                <w:kern w:val="0"/>
                <w:lang w:eastAsia="fr-FR"/>
              </w:rPr>
            </w:pPr>
            <w:r w:rsidRPr="005A744F">
              <w:rPr>
                <w:rFonts w:ascii="Calibri" w:hAnsi="Calibri" w:cs="Calibri"/>
                <w:color w:val="000000"/>
                <w:kern w:val="0"/>
                <w:lang w:eastAsia="fr-FR"/>
              </w:rPr>
              <w:t> </w:t>
            </w:r>
          </w:p>
        </w:tc>
        <w:tc>
          <w:tcPr>
            <w:tcW w:w="1300" w:type="dxa"/>
            <w:tcBorders>
              <w:top w:val="nil"/>
              <w:left w:val="single" w:sz="8" w:space="0" w:color="auto"/>
              <w:bottom w:val="single" w:sz="4" w:space="0" w:color="auto"/>
              <w:right w:val="nil"/>
            </w:tcBorders>
            <w:noWrap/>
            <w:vAlign w:val="center"/>
          </w:tcPr>
          <w:p w:rsidR="00AC67D1" w:rsidRPr="005A744F" w:rsidRDefault="00AC67D1" w:rsidP="005A744F">
            <w:pPr>
              <w:suppressAutoHyphens w:val="0"/>
              <w:jc w:val="center"/>
              <w:rPr>
                <w:rFonts w:ascii="Calibri" w:hAnsi="Calibri" w:cs="Calibri"/>
                <w:color w:val="000000"/>
                <w:kern w:val="0"/>
                <w:lang w:eastAsia="fr-FR"/>
              </w:rPr>
            </w:pPr>
            <w:r w:rsidRPr="005A744F">
              <w:rPr>
                <w:rFonts w:ascii="Calibri" w:hAnsi="Calibri" w:cs="Calibri"/>
                <w:color w:val="000000"/>
                <w:kern w:val="0"/>
                <w:lang w:eastAsia="fr-FR"/>
              </w:rPr>
              <w:t>335</w:t>
            </w:r>
          </w:p>
        </w:tc>
        <w:tc>
          <w:tcPr>
            <w:tcW w:w="1080" w:type="dxa"/>
            <w:tcBorders>
              <w:top w:val="nil"/>
              <w:left w:val="single" w:sz="8" w:space="0" w:color="auto"/>
              <w:bottom w:val="single" w:sz="4" w:space="0" w:color="auto"/>
              <w:right w:val="single" w:sz="8" w:space="0" w:color="auto"/>
            </w:tcBorders>
            <w:noWrap/>
            <w:vAlign w:val="center"/>
          </w:tcPr>
          <w:p w:rsidR="00AC67D1" w:rsidRPr="005A744F" w:rsidRDefault="00AC67D1" w:rsidP="005A744F">
            <w:pPr>
              <w:suppressAutoHyphens w:val="0"/>
              <w:jc w:val="center"/>
              <w:rPr>
                <w:rFonts w:ascii="Calibri" w:hAnsi="Calibri" w:cs="Calibri"/>
                <w:color w:val="000000"/>
                <w:kern w:val="0"/>
                <w:lang w:eastAsia="fr-FR"/>
              </w:rPr>
            </w:pPr>
            <w:r w:rsidRPr="005A744F">
              <w:rPr>
                <w:rFonts w:ascii="Calibri" w:hAnsi="Calibri" w:cs="Calibri"/>
                <w:color w:val="000000"/>
                <w:kern w:val="0"/>
                <w:lang w:eastAsia="fr-FR"/>
              </w:rPr>
              <w:t>3 ans</w:t>
            </w:r>
          </w:p>
        </w:tc>
      </w:tr>
      <w:tr w:rsidR="00AC67D1" w:rsidRPr="005A744F" w:rsidTr="005A744F">
        <w:trPr>
          <w:trHeight w:val="320"/>
        </w:trPr>
        <w:tc>
          <w:tcPr>
            <w:tcW w:w="1300" w:type="dxa"/>
            <w:tcBorders>
              <w:top w:val="nil"/>
              <w:left w:val="single" w:sz="8" w:space="0" w:color="auto"/>
              <w:bottom w:val="single" w:sz="4" w:space="0" w:color="auto"/>
              <w:right w:val="single" w:sz="8" w:space="0" w:color="auto"/>
            </w:tcBorders>
            <w:noWrap/>
            <w:vAlign w:val="center"/>
          </w:tcPr>
          <w:p w:rsidR="00AC67D1" w:rsidRPr="005A744F" w:rsidRDefault="00AC67D1" w:rsidP="005A744F">
            <w:pPr>
              <w:suppressAutoHyphens w:val="0"/>
              <w:jc w:val="center"/>
              <w:rPr>
                <w:rFonts w:ascii="Calibri" w:hAnsi="Calibri" w:cs="Calibri"/>
                <w:color w:val="000000"/>
                <w:kern w:val="0"/>
                <w:lang w:eastAsia="fr-FR"/>
              </w:rPr>
            </w:pPr>
            <w:r w:rsidRPr="005A744F">
              <w:rPr>
                <w:rFonts w:ascii="Calibri" w:hAnsi="Calibri" w:cs="Calibri"/>
                <w:color w:val="000000"/>
                <w:kern w:val="0"/>
                <w:lang w:eastAsia="fr-FR"/>
              </w:rPr>
              <w:t>334</w:t>
            </w:r>
          </w:p>
        </w:tc>
        <w:tc>
          <w:tcPr>
            <w:tcW w:w="240" w:type="dxa"/>
            <w:tcBorders>
              <w:top w:val="nil"/>
              <w:left w:val="nil"/>
              <w:bottom w:val="nil"/>
              <w:right w:val="nil"/>
            </w:tcBorders>
            <w:shd w:val="clear" w:color="000000" w:fill="BFBFBF"/>
            <w:noWrap/>
            <w:vAlign w:val="center"/>
          </w:tcPr>
          <w:p w:rsidR="00AC67D1" w:rsidRPr="005A744F" w:rsidRDefault="00AC67D1" w:rsidP="005A744F">
            <w:pPr>
              <w:suppressAutoHyphens w:val="0"/>
              <w:jc w:val="center"/>
              <w:rPr>
                <w:rFonts w:ascii="Calibri" w:hAnsi="Calibri" w:cs="Calibri"/>
                <w:color w:val="000000"/>
                <w:kern w:val="0"/>
                <w:lang w:eastAsia="fr-FR"/>
              </w:rPr>
            </w:pPr>
            <w:r w:rsidRPr="005A744F">
              <w:rPr>
                <w:rFonts w:ascii="Calibri" w:hAnsi="Calibri" w:cs="Calibri"/>
                <w:color w:val="000000"/>
                <w:kern w:val="0"/>
                <w:lang w:eastAsia="fr-FR"/>
              </w:rPr>
              <w:t> </w:t>
            </w:r>
          </w:p>
        </w:tc>
        <w:tc>
          <w:tcPr>
            <w:tcW w:w="1300" w:type="dxa"/>
            <w:tcBorders>
              <w:top w:val="nil"/>
              <w:left w:val="single" w:sz="8" w:space="0" w:color="auto"/>
              <w:bottom w:val="single" w:sz="4" w:space="0" w:color="auto"/>
              <w:right w:val="nil"/>
            </w:tcBorders>
            <w:noWrap/>
            <w:vAlign w:val="center"/>
          </w:tcPr>
          <w:p w:rsidR="00AC67D1" w:rsidRPr="005A744F" w:rsidRDefault="00AC67D1" w:rsidP="005A744F">
            <w:pPr>
              <w:suppressAutoHyphens w:val="0"/>
              <w:jc w:val="center"/>
              <w:rPr>
                <w:rFonts w:ascii="Calibri" w:hAnsi="Calibri" w:cs="Calibri"/>
                <w:color w:val="000000"/>
                <w:kern w:val="0"/>
                <w:lang w:eastAsia="fr-FR"/>
              </w:rPr>
            </w:pPr>
            <w:r w:rsidRPr="005A744F">
              <w:rPr>
                <w:rFonts w:ascii="Calibri" w:hAnsi="Calibri" w:cs="Calibri"/>
                <w:color w:val="000000"/>
                <w:kern w:val="0"/>
                <w:lang w:eastAsia="fr-FR"/>
              </w:rPr>
              <w:t>345</w:t>
            </w:r>
          </w:p>
        </w:tc>
        <w:tc>
          <w:tcPr>
            <w:tcW w:w="1080" w:type="dxa"/>
            <w:tcBorders>
              <w:top w:val="nil"/>
              <w:left w:val="single" w:sz="8" w:space="0" w:color="auto"/>
              <w:bottom w:val="single" w:sz="4" w:space="0" w:color="auto"/>
              <w:right w:val="single" w:sz="8" w:space="0" w:color="auto"/>
            </w:tcBorders>
            <w:noWrap/>
            <w:vAlign w:val="center"/>
          </w:tcPr>
          <w:p w:rsidR="00AC67D1" w:rsidRPr="005A744F" w:rsidRDefault="00AC67D1" w:rsidP="005A744F">
            <w:pPr>
              <w:suppressAutoHyphens w:val="0"/>
              <w:jc w:val="center"/>
              <w:rPr>
                <w:rFonts w:ascii="Calibri" w:hAnsi="Calibri" w:cs="Calibri"/>
                <w:color w:val="000000"/>
                <w:kern w:val="0"/>
                <w:lang w:eastAsia="fr-FR"/>
              </w:rPr>
            </w:pPr>
            <w:r w:rsidRPr="005A744F">
              <w:rPr>
                <w:rFonts w:ascii="Calibri" w:hAnsi="Calibri" w:cs="Calibri"/>
                <w:color w:val="000000"/>
                <w:kern w:val="0"/>
                <w:lang w:eastAsia="fr-FR"/>
              </w:rPr>
              <w:t>3 ans</w:t>
            </w:r>
          </w:p>
        </w:tc>
      </w:tr>
      <w:tr w:rsidR="00AC67D1" w:rsidRPr="005A744F" w:rsidTr="005A744F">
        <w:trPr>
          <w:trHeight w:val="320"/>
        </w:trPr>
        <w:tc>
          <w:tcPr>
            <w:tcW w:w="1300" w:type="dxa"/>
            <w:tcBorders>
              <w:top w:val="nil"/>
              <w:left w:val="single" w:sz="8" w:space="0" w:color="auto"/>
              <w:bottom w:val="single" w:sz="4" w:space="0" w:color="auto"/>
              <w:right w:val="single" w:sz="8" w:space="0" w:color="auto"/>
            </w:tcBorders>
            <w:noWrap/>
            <w:vAlign w:val="center"/>
          </w:tcPr>
          <w:p w:rsidR="00AC67D1" w:rsidRPr="005A744F" w:rsidRDefault="00AC67D1" w:rsidP="005A744F">
            <w:pPr>
              <w:suppressAutoHyphens w:val="0"/>
              <w:jc w:val="center"/>
              <w:rPr>
                <w:rFonts w:ascii="Calibri" w:hAnsi="Calibri" w:cs="Calibri"/>
                <w:color w:val="000000"/>
                <w:kern w:val="0"/>
                <w:lang w:eastAsia="fr-FR"/>
              </w:rPr>
            </w:pPr>
            <w:r w:rsidRPr="005A744F">
              <w:rPr>
                <w:rFonts w:ascii="Calibri" w:hAnsi="Calibri" w:cs="Calibri"/>
                <w:color w:val="000000"/>
                <w:kern w:val="0"/>
                <w:lang w:eastAsia="fr-FR"/>
              </w:rPr>
              <w:t>340</w:t>
            </w:r>
          </w:p>
        </w:tc>
        <w:tc>
          <w:tcPr>
            <w:tcW w:w="240" w:type="dxa"/>
            <w:tcBorders>
              <w:top w:val="nil"/>
              <w:left w:val="nil"/>
              <w:bottom w:val="nil"/>
              <w:right w:val="nil"/>
            </w:tcBorders>
            <w:shd w:val="clear" w:color="000000" w:fill="BFBFBF"/>
            <w:noWrap/>
            <w:vAlign w:val="center"/>
          </w:tcPr>
          <w:p w:rsidR="00AC67D1" w:rsidRPr="005A744F" w:rsidRDefault="00AC67D1" w:rsidP="005A744F">
            <w:pPr>
              <w:suppressAutoHyphens w:val="0"/>
              <w:jc w:val="center"/>
              <w:rPr>
                <w:rFonts w:ascii="Calibri" w:hAnsi="Calibri" w:cs="Calibri"/>
                <w:color w:val="000000"/>
                <w:kern w:val="0"/>
                <w:lang w:eastAsia="fr-FR"/>
              </w:rPr>
            </w:pPr>
            <w:r w:rsidRPr="005A744F">
              <w:rPr>
                <w:rFonts w:ascii="Calibri" w:hAnsi="Calibri" w:cs="Calibri"/>
                <w:color w:val="000000"/>
                <w:kern w:val="0"/>
                <w:lang w:eastAsia="fr-FR"/>
              </w:rPr>
              <w:t> </w:t>
            </w:r>
          </w:p>
        </w:tc>
        <w:tc>
          <w:tcPr>
            <w:tcW w:w="1300" w:type="dxa"/>
            <w:tcBorders>
              <w:top w:val="nil"/>
              <w:left w:val="single" w:sz="8" w:space="0" w:color="auto"/>
              <w:bottom w:val="single" w:sz="4" w:space="0" w:color="auto"/>
              <w:right w:val="nil"/>
            </w:tcBorders>
            <w:noWrap/>
            <w:vAlign w:val="center"/>
          </w:tcPr>
          <w:p w:rsidR="00AC67D1" w:rsidRPr="005A744F" w:rsidRDefault="00AC67D1" w:rsidP="005A744F">
            <w:pPr>
              <w:suppressAutoHyphens w:val="0"/>
              <w:jc w:val="center"/>
              <w:rPr>
                <w:rFonts w:ascii="Calibri" w:hAnsi="Calibri" w:cs="Calibri"/>
                <w:color w:val="000000"/>
                <w:kern w:val="0"/>
                <w:lang w:eastAsia="fr-FR"/>
              </w:rPr>
            </w:pPr>
            <w:r w:rsidRPr="005A744F">
              <w:rPr>
                <w:rFonts w:ascii="Calibri" w:hAnsi="Calibri" w:cs="Calibri"/>
                <w:color w:val="000000"/>
                <w:kern w:val="0"/>
                <w:lang w:eastAsia="fr-FR"/>
              </w:rPr>
              <w:t>355</w:t>
            </w:r>
          </w:p>
        </w:tc>
        <w:tc>
          <w:tcPr>
            <w:tcW w:w="1080" w:type="dxa"/>
            <w:tcBorders>
              <w:top w:val="nil"/>
              <w:left w:val="single" w:sz="8" w:space="0" w:color="auto"/>
              <w:bottom w:val="single" w:sz="4" w:space="0" w:color="auto"/>
              <w:right w:val="single" w:sz="8" w:space="0" w:color="auto"/>
            </w:tcBorders>
            <w:noWrap/>
            <w:vAlign w:val="center"/>
          </w:tcPr>
          <w:p w:rsidR="00AC67D1" w:rsidRPr="005A744F" w:rsidRDefault="00AC67D1" w:rsidP="005A744F">
            <w:pPr>
              <w:suppressAutoHyphens w:val="0"/>
              <w:jc w:val="center"/>
              <w:rPr>
                <w:rFonts w:ascii="Calibri" w:hAnsi="Calibri" w:cs="Calibri"/>
                <w:color w:val="000000"/>
                <w:kern w:val="0"/>
                <w:lang w:eastAsia="fr-FR"/>
              </w:rPr>
            </w:pPr>
            <w:r w:rsidRPr="005A744F">
              <w:rPr>
                <w:rFonts w:ascii="Calibri" w:hAnsi="Calibri" w:cs="Calibri"/>
                <w:color w:val="000000"/>
                <w:kern w:val="0"/>
                <w:lang w:eastAsia="fr-FR"/>
              </w:rPr>
              <w:t>3 ans</w:t>
            </w:r>
          </w:p>
        </w:tc>
      </w:tr>
      <w:tr w:rsidR="00AC67D1" w:rsidRPr="005A744F" w:rsidTr="005A744F">
        <w:trPr>
          <w:trHeight w:val="320"/>
        </w:trPr>
        <w:tc>
          <w:tcPr>
            <w:tcW w:w="1300" w:type="dxa"/>
            <w:tcBorders>
              <w:top w:val="nil"/>
              <w:left w:val="single" w:sz="8" w:space="0" w:color="auto"/>
              <w:bottom w:val="single" w:sz="4" w:space="0" w:color="auto"/>
              <w:right w:val="single" w:sz="8" w:space="0" w:color="auto"/>
            </w:tcBorders>
            <w:noWrap/>
            <w:vAlign w:val="center"/>
          </w:tcPr>
          <w:p w:rsidR="00AC67D1" w:rsidRPr="005A744F" w:rsidRDefault="00AC67D1" w:rsidP="005A744F">
            <w:pPr>
              <w:suppressAutoHyphens w:val="0"/>
              <w:jc w:val="center"/>
              <w:rPr>
                <w:rFonts w:ascii="Calibri" w:hAnsi="Calibri" w:cs="Calibri"/>
                <w:color w:val="000000"/>
                <w:kern w:val="0"/>
                <w:lang w:eastAsia="fr-FR"/>
              </w:rPr>
            </w:pPr>
            <w:r w:rsidRPr="005A744F">
              <w:rPr>
                <w:rFonts w:ascii="Calibri" w:hAnsi="Calibri" w:cs="Calibri"/>
                <w:color w:val="000000"/>
                <w:kern w:val="0"/>
                <w:lang w:eastAsia="fr-FR"/>
              </w:rPr>
              <w:t>346</w:t>
            </w:r>
          </w:p>
        </w:tc>
        <w:tc>
          <w:tcPr>
            <w:tcW w:w="240" w:type="dxa"/>
            <w:tcBorders>
              <w:top w:val="nil"/>
              <w:left w:val="nil"/>
              <w:bottom w:val="nil"/>
              <w:right w:val="nil"/>
            </w:tcBorders>
            <w:shd w:val="clear" w:color="000000" w:fill="BFBFBF"/>
            <w:noWrap/>
            <w:vAlign w:val="center"/>
          </w:tcPr>
          <w:p w:rsidR="00AC67D1" w:rsidRPr="005A744F" w:rsidRDefault="00AC67D1" w:rsidP="005A744F">
            <w:pPr>
              <w:suppressAutoHyphens w:val="0"/>
              <w:jc w:val="center"/>
              <w:rPr>
                <w:rFonts w:ascii="Calibri" w:hAnsi="Calibri" w:cs="Calibri"/>
                <w:color w:val="000000"/>
                <w:kern w:val="0"/>
                <w:lang w:eastAsia="fr-FR"/>
              </w:rPr>
            </w:pPr>
            <w:r w:rsidRPr="005A744F">
              <w:rPr>
                <w:rFonts w:ascii="Calibri" w:hAnsi="Calibri" w:cs="Calibri"/>
                <w:color w:val="000000"/>
                <w:kern w:val="0"/>
                <w:lang w:eastAsia="fr-FR"/>
              </w:rPr>
              <w:t> </w:t>
            </w:r>
          </w:p>
        </w:tc>
        <w:tc>
          <w:tcPr>
            <w:tcW w:w="1300" w:type="dxa"/>
            <w:tcBorders>
              <w:top w:val="nil"/>
              <w:left w:val="single" w:sz="8" w:space="0" w:color="auto"/>
              <w:bottom w:val="single" w:sz="4" w:space="0" w:color="auto"/>
              <w:right w:val="nil"/>
            </w:tcBorders>
            <w:noWrap/>
            <w:vAlign w:val="center"/>
          </w:tcPr>
          <w:p w:rsidR="00AC67D1" w:rsidRPr="005A744F" w:rsidRDefault="00AC67D1" w:rsidP="005A744F">
            <w:pPr>
              <w:suppressAutoHyphens w:val="0"/>
              <w:jc w:val="center"/>
              <w:rPr>
                <w:rFonts w:ascii="Calibri" w:hAnsi="Calibri" w:cs="Calibri"/>
                <w:color w:val="000000"/>
                <w:kern w:val="0"/>
                <w:lang w:eastAsia="fr-FR"/>
              </w:rPr>
            </w:pPr>
            <w:r w:rsidRPr="005A744F">
              <w:rPr>
                <w:rFonts w:ascii="Calibri" w:hAnsi="Calibri" w:cs="Calibri"/>
                <w:color w:val="000000"/>
                <w:kern w:val="0"/>
                <w:lang w:eastAsia="fr-FR"/>
              </w:rPr>
              <w:t>365</w:t>
            </w:r>
          </w:p>
        </w:tc>
        <w:tc>
          <w:tcPr>
            <w:tcW w:w="1080" w:type="dxa"/>
            <w:tcBorders>
              <w:top w:val="nil"/>
              <w:left w:val="single" w:sz="8" w:space="0" w:color="auto"/>
              <w:bottom w:val="single" w:sz="4" w:space="0" w:color="auto"/>
              <w:right w:val="single" w:sz="8" w:space="0" w:color="auto"/>
            </w:tcBorders>
            <w:noWrap/>
            <w:vAlign w:val="center"/>
          </w:tcPr>
          <w:p w:rsidR="00AC67D1" w:rsidRPr="005A744F" w:rsidRDefault="00AC67D1" w:rsidP="005A744F">
            <w:pPr>
              <w:suppressAutoHyphens w:val="0"/>
              <w:jc w:val="center"/>
              <w:rPr>
                <w:rFonts w:ascii="Calibri" w:hAnsi="Calibri" w:cs="Calibri"/>
                <w:color w:val="000000"/>
                <w:kern w:val="0"/>
                <w:lang w:eastAsia="fr-FR"/>
              </w:rPr>
            </w:pPr>
            <w:r w:rsidRPr="005A744F">
              <w:rPr>
                <w:rFonts w:ascii="Calibri" w:hAnsi="Calibri" w:cs="Calibri"/>
                <w:color w:val="000000"/>
                <w:kern w:val="0"/>
                <w:lang w:eastAsia="fr-FR"/>
              </w:rPr>
              <w:t>3 ans</w:t>
            </w:r>
          </w:p>
        </w:tc>
      </w:tr>
      <w:tr w:rsidR="00AC67D1" w:rsidRPr="005A744F" w:rsidTr="005A744F">
        <w:trPr>
          <w:trHeight w:val="320"/>
        </w:trPr>
        <w:tc>
          <w:tcPr>
            <w:tcW w:w="1300" w:type="dxa"/>
            <w:tcBorders>
              <w:top w:val="nil"/>
              <w:left w:val="single" w:sz="8" w:space="0" w:color="auto"/>
              <w:bottom w:val="single" w:sz="4" w:space="0" w:color="auto"/>
              <w:right w:val="single" w:sz="8" w:space="0" w:color="auto"/>
            </w:tcBorders>
            <w:noWrap/>
            <w:vAlign w:val="center"/>
          </w:tcPr>
          <w:p w:rsidR="00AC67D1" w:rsidRPr="005A744F" w:rsidRDefault="00AC67D1" w:rsidP="005A744F">
            <w:pPr>
              <w:suppressAutoHyphens w:val="0"/>
              <w:jc w:val="center"/>
              <w:rPr>
                <w:rFonts w:ascii="Calibri" w:hAnsi="Calibri" w:cs="Calibri"/>
                <w:color w:val="000000"/>
                <w:kern w:val="0"/>
                <w:lang w:eastAsia="fr-FR"/>
              </w:rPr>
            </w:pPr>
            <w:r w:rsidRPr="005A744F">
              <w:rPr>
                <w:rFonts w:ascii="Calibri" w:hAnsi="Calibri" w:cs="Calibri"/>
                <w:color w:val="000000"/>
                <w:kern w:val="0"/>
                <w:lang w:eastAsia="fr-FR"/>
              </w:rPr>
              <w:t>352</w:t>
            </w:r>
          </w:p>
        </w:tc>
        <w:tc>
          <w:tcPr>
            <w:tcW w:w="240" w:type="dxa"/>
            <w:tcBorders>
              <w:top w:val="nil"/>
              <w:left w:val="nil"/>
              <w:bottom w:val="nil"/>
              <w:right w:val="nil"/>
            </w:tcBorders>
            <w:shd w:val="clear" w:color="000000" w:fill="BFBFBF"/>
            <w:noWrap/>
            <w:vAlign w:val="center"/>
          </w:tcPr>
          <w:p w:rsidR="00AC67D1" w:rsidRPr="005A744F" w:rsidRDefault="00AC67D1" w:rsidP="005A744F">
            <w:pPr>
              <w:suppressAutoHyphens w:val="0"/>
              <w:jc w:val="center"/>
              <w:rPr>
                <w:rFonts w:ascii="Calibri" w:hAnsi="Calibri" w:cs="Calibri"/>
                <w:color w:val="000000"/>
                <w:kern w:val="0"/>
                <w:lang w:eastAsia="fr-FR"/>
              </w:rPr>
            </w:pPr>
            <w:r w:rsidRPr="005A744F">
              <w:rPr>
                <w:rFonts w:ascii="Calibri" w:hAnsi="Calibri" w:cs="Calibri"/>
                <w:color w:val="000000"/>
                <w:kern w:val="0"/>
                <w:lang w:eastAsia="fr-FR"/>
              </w:rPr>
              <w:t> </w:t>
            </w:r>
          </w:p>
        </w:tc>
        <w:tc>
          <w:tcPr>
            <w:tcW w:w="1300" w:type="dxa"/>
            <w:tcBorders>
              <w:top w:val="nil"/>
              <w:left w:val="single" w:sz="8" w:space="0" w:color="auto"/>
              <w:bottom w:val="single" w:sz="4" w:space="0" w:color="auto"/>
              <w:right w:val="nil"/>
            </w:tcBorders>
            <w:noWrap/>
            <w:vAlign w:val="center"/>
          </w:tcPr>
          <w:p w:rsidR="00AC67D1" w:rsidRPr="005A744F" w:rsidRDefault="00AC67D1" w:rsidP="005A744F">
            <w:pPr>
              <w:suppressAutoHyphens w:val="0"/>
              <w:jc w:val="center"/>
              <w:rPr>
                <w:rFonts w:ascii="Calibri" w:hAnsi="Calibri" w:cs="Calibri"/>
                <w:color w:val="000000"/>
                <w:kern w:val="0"/>
                <w:lang w:eastAsia="fr-FR"/>
              </w:rPr>
            </w:pPr>
            <w:r w:rsidRPr="005A744F">
              <w:rPr>
                <w:rFonts w:ascii="Calibri" w:hAnsi="Calibri" w:cs="Calibri"/>
                <w:color w:val="000000"/>
                <w:kern w:val="0"/>
                <w:lang w:eastAsia="fr-FR"/>
              </w:rPr>
              <w:t>375</w:t>
            </w:r>
          </w:p>
        </w:tc>
        <w:tc>
          <w:tcPr>
            <w:tcW w:w="1080" w:type="dxa"/>
            <w:tcBorders>
              <w:top w:val="nil"/>
              <w:left w:val="single" w:sz="8" w:space="0" w:color="auto"/>
              <w:bottom w:val="single" w:sz="4" w:space="0" w:color="auto"/>
              <w:right w:val="single" w:sz="8" w:space="0" w:color="auto"/>
            </w:tcBorders>
            <w:noWrap/>
            <w:vAlign w:val="center"/>
          </w:tcPr>
          <w:p w:rsidR="00AC67D1" w:rsidRPr="005A744F" w:rsidRDefault="00AC67D1" w:rsidP="005A744F">
            <w:pPr>
              <w:suppressAutoHyphens w:val="0"/>
              <w:jc w:val="center"/>
              <w:rPr>
                <w:rFonts w:ascii="Calibri" w:hAnsi="Calibri" w:cs="Calibri"/>
                <w:color w:val="000000"/>
                <w:kern w:val="0"/>
                <w:lang w:eastAsia="fr-FR"/>
              </w:rPr>
            </w:pPr>
            <w:r w:rsidRPr="005A744F">
              <w:rPr>
                <w:rFonts w:ascii="Calibri" w:hAnsi="Calibri" w:cs="Calibri"/>
                <w:color w:val="000000"/>
                <w:kern w:val="0"/>
                <w:lang w:eastAsia="fr-FR"/>
              </w:rPr>
              <w:t>3 ans</w:t>
            </w:r>
          </w:p>
        </w:tc>
      </w:tr>
      <w:tr w:rsidR="00AC67D1" w:rsidRPr="005A744F" w:rsidTr="005A744F">
        <w:trPr>
          <w:trHeight w:val="320"/>
        </w:trPr>
        <w:tc>
          <w:tcPr>
            <w:tcW w:w="1300" w:type="dxa"/>
            <w:tcBorders>
              <w:top w:val="nil"/>
              <w:left w:val="single" w:sz="8" w:space="0" w:color="auto"/>
              <w:bottom w:val="single" w:sz="4" w:space="0" w:color="auto"/>
              <w:right w:val="single" w:sz="8" w:space="0" w:color="auto"/>
            </w:tcBorders>
            <w:noWrap/>
            <w:vAlign w:val="center"/>
          </w:tcPr>
          <w:p w:rsidR="00AC67D1" w:rsidRPr="005A744F" w:rsidRDefault="00AC67D1" w:rsidP="005A744F">
            <w:pPr>
              <w:suppressAutoHyphens w:val="0"/>
              <w:jc w:val="center"/>
              <w:rPr>
                <w:rFonts w:ascii="Calibri" w:hAnsi="Calibri" w:cs="Calibri"/>
                <w:color w:val="000000"/>
                <w:kern w:val="0"/>
                <w:lang w:eastAsia="fr-FR"/>
              </w:rPr>
            </w:pPr>
            <w:r w:rsidRPr="005A744F">
              <w:rPr>
                <w:rFonts w:ascii="Calibri" w:hAnsi="Calibri" w:cs="Calibri"/>
                <w:color w:val="000000"/>
                <w:kern w:val="0"/>
                <w:lang w:eastAsia="fr-FR"/>
              </w:rPr>
              <w:t>358</w:t>
            </w:r>
          </w:p>
        </w:tc>
        <w:tc>
          <w:tcPr>
            <w:tcW w:w="240" w:type="dxa"/>
            <w:tcBorders>
              <w:top w:val="nil"/>
              <w:left w:val="nil"/>
              <w:bottom w:val="nil"/>
              <w:right w:val="nil"/>
            </w:tcBorders>
            <w:shd w:val="clear" w:color="000000" w:fill="BFBFBF"/>
            <w:noWrap/>
            <w:vAlign w:val="center"/>
          </w:tcPr>
          <w:p w:rsidR="00AC67D1" w:rsidRPr="005A744F" w:rsidRDefault="00AC67D1" w:rsidP="005A744F">
            <w:pPr>
              <w:suppressAutoHyphens w:val="0"/>
              <w:jc w:val="center"/>
              <w:rPr>
                <w:rFonts w:ascii="Calibri" w:hAnsi="Calibri" w:cs="Calibri"/>
                <w:color w:val="000000"/>
                <w:kern w:val="0"/>
                <w:lang w:eastAsia="fr-FR"/>
              </w:rPr>
            </w:pPr>
            <w:r w:rsidRPr="005A744F">
              <w:rPr>
                <w:rFonts w:ascii="Calibri" w:hAnsi="Calibri" w:cs="Calibri"/>
                <w:color w:val="000000"/>
                <w:kern w:val="0"/>
                <w:lang w:eastAsia="fr-FR"/>
              </w:rPr>
              <w:t> </w:t>
            </w:r>
          </w:p>
        </w:tc>
        <w:tc>
          <w:tcPr>
            <w:tcW w:w="1300" w:type="dxa"/>
            <w:tcBorders>
              <w:top w:val="nil"/>
              <w:left w:val="single" w:sz="8" w:space="0" w:color="auto"/>
              <w:bottom w:val="single" w:sz="4" w:space="0" w:color="auto"/>
              <w:right w:val="nil"/>
            </w:tcBorders>
            <w:noWrap/>
            <w:vAlign w:val="center"/>
          </w:tcPr>
          <w:p w:rsidR="00AC67D1" w:rsidRPr="005A744F" w:rsidRDefault="00AC67D1" w:rsidP="005A744F">
            <w:pPr>
              <w:suppressAutoHyphens w:val="0"/>
              <w:jc w:val="center"/>
              <w:rPr>
                <w:rFonts w:ascii="Calibri" w:hAnsi="Calibri" w:cs="Calibri"/>
                <w:color w:val="000000"/>
                <w:kern w:val="0"/>
                <w:lang w:eastAsia="fr-FR"/>
              </w:rPr>
            </w:pPr>
            <w:r w:rsidRPr="005A744F">
              <w:rPr>
                <w:rFonts w:ascii="Calibri" w:hAnsi="Calibri" w:cs="Calibri"/>
                <w:color w:val="000000"/>
                <w:kern w:val="0"/>
                <w:lang w:eastAsia="fr-FR"/>
              </w:rPr>
              <w:t>385</w:t>
            </w:r>
          </w:p>
        </w:tc>
        <w:tc>
          <w:tcPr>
            <w:tcW w:w="1080" w:type="dxa"/>
            <w:tcBorders>
              <w:top w:val="nil"/>
              <w:left w:val="single" w:sz="8" w:space="0" w:color="auto"/>
              <w:bottom w:val="single" w:sz="4" w:space="0" w:color="auto"/>
              <w:right w:val="single" w:sz="8" w:space="0" w:color="auto"/>
            </w:tcBorders>
            <w:noWrap/>
            <w:vAlign w:val="center"/>
          </w:tcPr>
          <w:p w:rsidR="00AC67D1" w:rsidRPr="005A744F" w:rsidRDefault="00AC67D1" w:rsidP="005A744F">
            <w:pPr>
              <w:suppressAutoHyphens w:val="0"/>
              <w:jc w:val="center"/>
              <w:rPr>
                <w:rFonts w:ascii="Calibri" w:hAnsi="Calibri" w:cs="Calibri"/>
                <w:color w:val="000000"/>
                <w:kern w:val="0"/>
                <w:lang w:eastAsia="fr-FR"/>
              </w:rPr>
            </w:pPr>
            <w:r w:rsidRPr="005A744F">
              <w:rPr>
                <w:rFonts w:ascii="Calibri" w:hAnsi="Calibri" w:cs="Calibri"/>
                <w:color w:val="000000"/>
                <w:kern w:val="0"/>
                <w:lang w:eastAsia="fr-FR"/>
              </w:rPr>
              <w:t>3 ans</w:t>
            </w:r>
          </w:p>
        </w:tc>
      </w:tr>
      <w:tr w:rsidR="00AC67D1" w:rsidRPr="005A744F" w:rsidTr="005A744F">
        <w:trPr>
          <w:trHeight w:val="340"/>
        </w:trPr>
        <w:tc>
          <w:tcPr>
            <w:tcW w:w="1300" w:type="dxa"/>
            <w:tcBorders>
              <w:top w:val="nil"/>
              <w:left w:val="single" w:sz="8" w:space="0" w:color="auto"/>
              <w:bottom w:val="single" w:sz="8" w:space="0" w:color="auto"/>
              <w:right w:val="single" w:sz="8" w:space="0" w:color="auto"/>
            </w:tcBorders>
            <w:noWrap/>
            <w:vAlign w:val="center"/>
          </w:tcPr>
          <w:p w:rsidR="00AC67D1" w:rsidRPr="005A744F" w:rsidRDefault="00AC67D1" w:rsidP="005A744F">
            <w:pPr>
              <w:suppressAutoHyphens w:val="0"/>
              <w:jc w:val="center"/>
              <w:rPr>
                <w:rFonts w:ascii="Calibri" w:hAnsi="Calibri" w:cs="Calibri"/>
                <w:color w:val="000000"/>
                <w:kern w:val="0"/>
                <w:lang w:eastAsia="fr-FR"/>
              </w:rPr>
            </w:pPr>
            <w:r w:rsidRPr="005A744F">
              <w:rPr>
                <w:rFonts w:ascii="Calibri" w:hAnsi="Calibri" w:cs="Calibri"/>
                <w:color w:val="000000"/>
                <w:kern w:val="0"/>
                <w:lang w:eastAsia="fr-FR"/>
              </w:rPr>
              <w:t>363</w:t>
            </w:r>
          </w:p>
        </w:tc>
        <w:tc>
          <w:tcPr>
            <w:tcW w:w="240" w:type="dxa"/>
            <w:tcBorders>
              <w:top w:val="nil"/>
              <w:left w:val="nil"/>
              <w:bottom w:val="nil"/>
              <w:right w:val="nil"/>
            </w:tcBorders>
            <w:shd w:val="clear" w:color="000000" w:fill="BFBFBF"/>
            <w:noWrap/>
            <w:vAlign w:val="center"/>
          </w:tcPr>
          <w:p w:rsidR="00AC67D1" w:rsidRPr="005A744F" w:rsidRDefault="00AC67D1" w:rsidP="005A744F">
            <w:pPr>
              <w:suppressAutoHyphens w:val="0"/>
              <w:jc w:val="center"/>
              <w:rPr>
                <w:rFonts w:ascii="Calibri" w:hAnsi="Calibri" w:cs="Calibri"/>
                <w:color w:val="000000"/>
                <w:kern w:val="0"/>
                <w:lang w:eastAsia="fr-FR"/>
              </w:rPr>
            </w:pPr>
            <w:r w:rsidRPr="005A744F">
              <w:rPr>
                <w:rFonts w:ascii="Calibri" w:hAnsi="Calibri" w:cs="Calibri"/>
                <w:color w:val="000000"/>
                <w:kern w:val="0"/>
                <w:lang w:eastAsia="fr-FR"/>
              </w:rPr>
              <w:t> </w:t>
            </w:r>
          </w:p>
        </w:tc>
        <w:tc>
          <w:tcPr>
            <w:tcW w:w="1300" w:type="dxa"/>
            <w:tcBorders>
              <w:top w:val="nil"/>
              <w:left w:val="single" w:sz="8" w:space="0" w:color="auto"/>
              <w:bottom w:val="single" w:sz="4" w:space="0" w:color="auto"/>
              <w:right w:val="nil"/>
            </w:tcBorders>
            <w:noWrap/>
            <w:vAlign w:val="center"/>
          </w:tcPr>
          <w:p w:rsidR="00AC67D1" w:rsidRPr="005A744F" w:rsidRDefault="00AC67D1" w:rsidP="005A744F">
            <w:pPr>
              <w:suppressAutoHyphens w:val="0"/>
              <w:jc w:val="center"/>
              <w:rPr>
                <w:rFonts w:ascii="Calibri" w:hAnsi="Calibri" w:cs="Calibri"/>
                <w:color w:val="000000"/>
                <w:kern w:val="0"/>
                <w:lang w:eastAsia="fr-FR"/>
              </w:rPr>
            </w:pPr>
            <w:r w:rsidRPr="005A744F">
              <w:rPr>
                <w:rFonts w:ascii="Calibri" w:hAnsi="Calibri" w:cs="Calibri"/>
                <w:color w:val="000000"/>
                <w:kern w:val="0"/>
                <w:lang w:eastAsia="fr-FR"/>
              </w:rPr>
              <w:t>395</w:t>
            </w:r>
          </w:p>
        </w:tc>
        <w:tc>
          <w:tcPr>
            <w:tcW w:w="1080" w:type="dxa"/>
            <w:tcBorders>
              <w:top w:val="nil"/>
              <w:left w:val="single" w:sz="8" w:space="0" w:color="auto"/>
              <w:bottom w:val="single" w:sz="4" w:space="0" w:color="auto"/>
              <w:right w:val="single" w:sz="8" w:space="0" w:color="auto"/>
            </w:tcBorders>
            <w:noWrap/>
            <w:vAlign w:val="center"/>
          </w:tcPr>
          <w:p w:rsidR="00AC67D1" w:rsidRPr="005A744F" w:rsidRDefault="00AC67D1" w:rsidP="005A744F">
            <w:pPr>
              <w:suppressAutoHyphens w:val="0"/>
              <w:jc w:val="center"/>
              <w:rPr>
                <w:rFonts w:ascii="Calibri" w:hAnsi="Calibri" w:cs="Calibri"/>
                <w:color w:val="000000"/>
                <w:kern w:val="0"/>
                <w:lang w:eastAsia="fr-FR"/>
              </w:rPr>
            </w:pPr>
            <w:r w:rsidRPr="005A744F">
              <w:rPr>
                <w:rFonts w:ascii="Calibri" w:hAnsi="Calibri" w:cs="Calibri"/>
                <w:color w:val="000000"/>
                <w:kern w:val="0"/>
                <w:lang w:eastAsia="fr-FR"/>
              </w:rPr>
              <w:t>3 ans</w:t>
            </w:r>
          </w:p>
        </w:tc>
        <w:bookmarkStart w:id="0" w:name="_GoBack"/>
        <w:bookmarkEnd w:id="0"/>
      </w:tr>
      <w:tr w:rsidR="00AC67D1" w:rsidRPr="005A744F" w:rsidTr="005A744F">
        <w:trPr>
          <w:trHeight w:val="320"/>
        </w:trPr>
        <w:tc>
          <w:tcPr>
            <w:tcW w:w="1300" w:type="dxa"/>
            <w:tcBorders>
              <w:top w:val="nil"/>
              <w:left w:val="nil"/>
              <w:bottom w:val="nil"/>
              <w:right w:val="nil"/>
            </w:tcBorders>
            <w:noWrap/>
            <w:vAlign w:val="center"/>
          </w:tcPr>
          <w:p w:rsidR="00AC67D1" w:rsidRPr="005A744F" w:rsidRDefault="00AC67D1" w:rsidP="005A744F">
            <w:pPr>
              <w:suppressAutoHyphens w:val="0"/>
              <w:jc w:val="center"/>
              <w:rPr>
                <w:rFonts w:ascii="Calibri" w:hAnsi="Calibri" w:cs="Calibri"/>
                <w:color w:val="000000"/>
                <w:kern w:val="0"/>
                <w:lang w:eastAsia="fr-FR"/>
              </w:rPr>
            </w:pPr>
          </w:p>
        </w:tc>
        <w:tc>
          <w:tcPr>
            <w:tcW w:w="240" w:type="dxa"/>
            <w:tcBorders>
              <w:top w:val="nil"/>
              <w:left w:val="nil"/>
              <w:bottom w:val="nil"/>
              <w:right w:val="nil"/>
            </w:tcBorders>
            <w:noWrap/>
            <w:vAlign w:val="center"/>
          </w:tcPr>
          <w:p w:rsidR="00AC67D1" w:rsidRPr="005A744F" w:rsidRDefault="00AC67D1" w:rsidP="005A744F">
            <w:pPr>
              <w:suppressAutoHyphens w:val="0"/>
              <w:jc w:val="center"/>
              <w:rPr>
                <w:rFonts w:ascii="Times New Roman" w:hAnsi="Times New Roman" w:cs="Times New Roman"/>
                <w:kern w:val="0"/>
                <w:sz w:val="20"/>
                <w:szCs w:val="20"/>
                <w:lang w:eastAsia="fr-FR"/>
              </w:rPr>
            </w:pPr>
          </w:p>
        </w:tc>
        <w:tc>
          <w:tcPr>
            <w:tcW w:w="1300" w:type="dxa"/>
            <w:tcBorders>
              <w:top w:val="nil"/>
              <w:left w:val="single" w:sz="8" w:space="0" w:color="auto"/>
              <w:bottom w:val="single" w:sz="4" w:space="0" w:color="auto"/>
              <w:right w:val="nil"/>
            </w:tcBorders>
            <w:noWrap/>
            <w:vAlign w:val="center"/>
          </w:tcPr>
          <w:p w:rsidR="00AC67D1" w:rsidRPr="005A744F" w:rsidRDefault="00AC67D1" w:rsidP="005A744F">
            <w:pPr>
              <w:suppressAutoHyphens w:val="0"/>
              <w:jc w:val="center"/>
              <w:rPr>
                <w:rFonts w:ascii="Calibri" w:hAnsi="Calibri" w:cs="Calibri"/>
                <w:color w:val="000000"/>
                <w:kern w:val="0"/>
                <w:lang w:eastAsia="fr-FR"/>
              </w:rPr>
            </w:pPr>
            <w:r w:rsidRPr="005A744F">
              <w:rPr>
                <w:rFonts w:ascii="Calibri" w:hAnsi="Calibri" w:cs="Calibri"/>
                <w:color w:val="000000"/>
                <w:kern w:val="0"/>
                <w:lang w:eastAsia="fr-FR"/>
              </w:rPr>
              <w:t>405</w:t>
            </w:r>
          </w:p>
        </w:tc>
        <w:tc>
          <w:tcPr>
            <w:tcW w:w="1080" w:type="dxa"/>
            <w:tcBorders>
              <w:top w:val="nil"/>
              <w:left w:val="single" w:sz="8" w:space="0" w:color="auto"/>
              <w:bottom w:val="single" w:sz="4" w:space="0" w:color="auto"/>
              <w:right w:val="single" w:sz="8" w:space="0" w:color="auto"/>
            </w:tcBorders>
            <w:noWrap/>
            <w:vAlign w:val="center"/>
          </w:tcPr>
          <w:p w:rsidR="00AC67D1" w:rsidRPr="005A744F" w:rsidRDefault="00AC67D1" w:rsidP="005A744F">
            <w:pPr>
              <w:suppressAutoHyphens w:val="0"/>
              <w:jc w:val="center"/>
              <w:rPr>
                <w:rFonts w:ascii="Calibri" w:hAnsi="Calibri" w:cs="Calibri"/>
                <w:color w:val="000000"/>
                <w:kern w:val="0"/>
                <w:lang w:eastAsia="fr-FR"/>
              </w:rPr>
            </w:pPr>
            <w:r w:rsidRPr="005A744F">
              <w:rPr>
                <w:rFonts w:ascii="Calibri" w:hAnsi="Calibri" w:cs="Calibri"/>
                <w:color w:val="000000"/>
                <w:kern w:val="0"/>
                <w:lang w:eastAsia="fr-FR"/>
              </w:rPr>
              <w:t>3 ans</w:t>
            </w:r>
          </w:p>
        </w:tc>
      </w:tr>
      <w:tr w:rsidR="00AC67D1" w:rsidRPr="005A744F" w:rsidTr="005A744F">
        <w:trPr>
          <w:trHeight w:val="320"/>
        </w:trPr>
        <w:tc>
          <w:tcPr>
            <w:tcW w:w="1300" w:type="dxa"/>
            <w:tcBorders>
              <w:top w:val="nil"/>
              <w:left w:val="nil"/>
              <w:bottom w:val="nil"/>
              <w:right w:val="nil"/>
            </w:tcBorders>
            <w:noWrap/>
            <w:vAlign w:val="center"/>
          </w:tcPr>
          <w:p w:rsidR="00AC67D1" w:rsidRPr="005A744F" w:rsidRDefault="00AC67D1" w:rsidP="005A744F">
            <w:pPr>
              <w:suppressAutoHyphens w:val="0"/>
              <w:jc w:val="center"/>
              <w:rPr>
                <w:rFonts w:ascii="Calibri" w:hAnsi="Calibri" w:cs="Calibri"/>
                <w:color w:val="000000"/>
                <w:kern w:val="0"/>
                <w:lang w:eastAsia="fr-FR"/>
              </w:rPr>
            </w:pPr>
          </w:p>
        </w:tc>
        <w:tc>
          <w:tcPr>
            <w:tcW w:w="240" w:type="dxa"/>
            <w:tcBorders>
              <w:top w:val="nil"/>
              <w:left w:val="nil"/>
              <w:bottom w:val="nil"/>
              <w:right w:val="nil"/>
            </w:tcBorders>
            <w:noWrap/>
            <w:vAlign w:val="center"/>
          </w:tcPr>
          <w:p w:rsidR="00AC67D1" w:rsidRPr="005A744F" w:rsidRDefault="00AC67D1" w:rsidP="005A744F">
            <w:pPr>
              <w:suppressAutoHyphens w:val="0"/>
              <w:jc w:val="center"/>
              <w:rPr>
                <w:rFonts w:ascii="Times New Roman" w:hAnsi="Times New Roman" w:cs="Times New Roman"/>
                <w:kern w:val="0"/>
                <w:sz w:val="20"/>
                <w:szCs w:val="20"/>
                <w:lang w:eastAsia="fr-FR"/>
              </w:rPr>
            </w:pPr>
          </w:p>
        </w:tc>
        <w:tc>
          <w:tcPr>
            <w:tcW w:w="1300" w:type="dxa"/>
            <w:tcBorders>
              <w:top w:val="nil"/>
              <w:left w:val="single" w:sz="8" w:space="0" w:color="auto"/>
              <w:bottom w:val="single" w:sz="4" w:space="0" w:color="auto"/>
              <w:right w:val="nil"/>
            </w:tcBorders>
            <w:noWrap/>
            <w:vAlign w:val="center"/>
          </w:tcPr>
          <w:p w:rsidR="00AC67D1" w:rsidRPr="005A744F" w:rsidRDefault="00AC67D1" w:rsidP="005A744F">
            <w:pPr>
              <w:suppressAutoHyphens w:val="0"/>
              <w:jc w:val="center"/>
              <w:rPr>
                <w:rFonts w:ascii="Calibri" w:hAnsi="Calibri" w:cs="Calibri"/>
                <w:color w:val="000000"/>
                <w:kern w:val="0"/>
                <w:lang w:eastAsia="fr-FR"/>
              </w:rPr>
            </w:pPr>
            <w:r w:rsidRPr="005A744F">
              <w:rPr>
                <w:rFonts w:ascii="Calibri" w:hAnsi="Calibri" w:cs="Calibri"/>
                <w:color w:val="000000"/>
                <w:kern w:val="0"/>
                <w:lang w:eastAsia="fr-FR"/>
              </w:rPr>
              <w:t>415</w:t>
            </w:r>
          </w:p>
        </w:tc>
        <w:tc>
          <w:tcPr>
            <w:tcW w:w="1080" w:type="dxa"/>
            <w:tcBorders>
              <w:top w:val="nil"/>
              <w:left w:val="single" w:sz="8" w:space="0" w:color="auto"/>
              <w:bottom w:val="single" w:sz="4" w:space="0" w:color="auto"/>
              <w:right w:val="single" w:sz="8" w:space="0" w:color="auto"/>
            </w:tcBorders>
            <w:noWrap/>
            <w:vAlign w:val="center"/>
          </w:tcPr>
          <w:p w:rsidR="00AC67D1" w:rsidRPr="005A744F" w:rsidRDefault="00AC67D1" w:rsidP="005A744F">
            <w:pPr>
              <w:suppressAutoHyphens w:val="0"/>
              <w:jc w:val="center"/>
              <w:rPr>
                <w:rFonts w:ascii="Calibri" w:hAnsi="Calibri" w:cs="Calibri"/>
                <w:color w:val="000000"/>
                <w:kern w:val="0"/>
                <w:lang w:eastAsia="fr-FR"/>
              </w:rPr>
            </w:pPr>
            <w:r w:rsidRPr="005A744F">
              <w:rPr>
                <w:rFonts w:ascii="Calibri" w:hAnsi="Calibri" w:cs="Calibri"/>
                <w:color w:val="000000"/>
                <w:kern w:val="0"/>
                <w:lang w:eastAsia="fr-FR"/>
              </w:rPr>
              <w:t>3 ans</w:t>
            </w:r>
          </w:p>
        </w:tc>
      </w:tr>
      <w:tr w:rsidR="00AC67D1" w:rsidRPr="005A744F" w:rsidTr="005A744F">
        <w:trPr>
          <w:trHeight w:val="340"/>
        </w:trPr>
        <w:tc>
          <w:tcPr>
            <w:tcW w:w="1300" w:type="dxa"/>
            <w:tcBorders>
              <w:top w:val="nil"/>
              <w:left w:val="nil"/>
              <w:bottom w:val="nil"/>
              <w:right w:val="nil"/>
            </w:tcBorders>
            <w:noWrap/>
            <w:vAlign w:val="center"/>
          </w:tcPr>
          <w:p w:rsidR="00AC67D1" w:rsidRPr="005A744F" w:rsidRDefault="00AC67D1" w:rsidP="005A744F">
            <w:pPr>
              <w:suppressAutoHyphens w:val="0"/>
              <w:jc w:val="center"/>
              <w:rPr>
                <w:rFonts w:ascii="Calibri" w:hAnsi="Calibri" w:cs="Calibri"/>
                <w:color w:val="000000"/>
                <w:kern w:val="0"/>
                <w:lang w:eastAsia="fr-FR"/>
              </w:rPr>
            </w:pPr>
          </w:p>
        </w:tc>
        <w:tc>
          <w:tcPr>
            <w:tcW w:w="240" w:type="dxa"/>
            <w:tcBorders>
              <w:top w:val="nil"/>
              <w:left w:val="nil"/>
              <w:bottom w:val="nil"/>
              <w:right w:val="nil"/>
            </w:tcBorders>
            <w:noWrap/>
            <w:vAlign w:val="center"/>
          </w:tcPr>
          <w:p w:rsidR="00AC67D1" w:rsidRPr="005A744F" w:rsidRDefault="00AC67D1" w:rsidP="005A744F">
            <w:pPr>
              <w:suppressAutoHyphens w:val="0"/>
              <w:jc w:val="center"/>
              <w:rPr>
                <w:rFonts w:ascii="Times New Roman" w:hAnsi="Times New Roman" w:cs="Times New Roman"/>
                <w:kern w:val="0"/>
                <w:sz w:val="20"/>
                <w:szCs w:val="20"/>
                <w:lang w:eastAsia="fr-FR"/>
              </w:rPr>
            </w:pPr>
          </w:p>
        </w:tc>
        <w:tc>
          <w:tcPr>
            <w:tcW w:w="1300" w:type="dxa"/>
            <w:tcBorders>
              <w:top w:val="nil"/>
              <w:left w:val="single" w:sz="8" w:space="0" w:color="auto"/>
              <w:bottom w:val="single" w:sz="4" w:space="0" w:color="auto"/>
              <w:right w:val="nil"/>
            </w:tcBorders>
            <w:noWrap/>
            <w:vAlign w:val="center"/>
          </w:tcPr>
          <w:p w:rsidR="00AC67D1" w:rsidRPr="005A744F" w:rsidRDefault="00AC67D1" w:rsidP="005A744F">
            <w:pPr>
              <w:suppressAutoHyphens w:val="0"/>
              <w:jc w:val="center"/>
              <w:rPr>
                <w:rFonts w:ascii="Calibri" w:hAnsi="Calibri" w:cs="Calibri"/>
                <w:color w:val="000000"/>
                <w:kern w:val="0"/>
                <w:lang w:eastAsia="fr-FR"/>
              </w:rPr>
            </w:pPr>
            <w:r w:rsidRPr="005A744F">
              <w:rPr>
                <w:rFonts w:ascii="Calibri" w:hAnsi="Calibri" w:cs="Calibri"/>
                <w:color w:val="000000"/>
                <w:kern w:val="0"/>
                <w:lang w:eastAsia="fr-FR"/>
              </w:rPr>
              <w:t>425</w:t>
            </w:r>
          </w:p>
        </w:tc>
        <w:tc>
          <w:tcPr>
            <w:tcW w:w="1080" w:type="dxa"/>
            <w:tcBorders>
              <w:top w:val="nil"/>
              <w:left w:val="single" w:sz="8" w:space="0" w:color="auto"/>
              <w:bottom w:val="single" w:sz="8" w:space="0" w:color="auto"/>
              <w:right w:val="single" w:sz="8" w:space="0" w:color="auto"/>
            </w:tcBorders>
            <w:noWrap/>
            <w:vAlign w:val="center"/>
          </w:tcPr>
          <w:p w:rsidR="00AC67D1" w:rsidRPr="005A744F" w:rsidRDefault="00AC67D1" w:rsidP="005A744F">
            <w:pPr>
              <w:suppressAutoHyphens w:val="0"/>
              <w:jc w:val="center"/>
              <w:rPr>
                <w:rFonts w:ascii="Calibri" w:hAnsi="Calibri" w:cs="Calibri"/>
                <w:color w:val="000000"/>
                <w:kern w:val="0"/>
                <w:lang w:eastAsia="fr-FR"/>
              </w:rPr>
            </w:pPr>
            <w:r w:rsidRPr="005A744F">
              <w:rPr>
                <w:rFonts w:ascii="Calibri" w:hAnsi="Calibri" w:cs="Calibri"/>
                <w:color w:val="000000"/>
                <w:kern w:val="0"/>
                <w:lang w:eastAsia="fr-FR"/>
              </w:rPr>
              <w:t>3 ans</w:t>
            </w:r>
          </w:p>
        </w:tc>
      </w:tr>
      <w:tr w:rsidR="00AC67D1" w:rsidRPr="005A744F" w:rsidTr="005A744F">
        <w:trPr>
          <w:trHeight w:val="340"/>
        </w:trPr>
        <w:tc>
          <w:tcPr>
            <w:tcW w:w="1300" w:type="dxa"/>
            <w:tcBorders>
              <w:top w:val="nil"/>
              <w:left w:val="nil"/>
              <w:bottom w:val="nil"/>
              <w:right w:val="nil"/>
            </w:tcBorders>
            <w:noWrap/>
            <w:vAlign w:val="center"/>
          </w:tcPr>
          <w:p w:rsidR="00AC67D1" w:rsidRPr="005A744F" w:rsidRDefault="00AC67D1" w:rsidP="005A744F">
            <w:pPr>
              <w:suppressAutoHyphens w:val="0"/>
              <w:jc w:val="center"/>
              <w:rPr>
                <w:rFonts w:ascii="Calibri" w:hAnsi="Calibri" w:cs="Calibri"/>
                <w:color w:val="000000"/>
                <w:kern w:val="0"/>
                <w:lang w:eastAsia="fr-FR"/>
              </w:rPr>
            </w:pPr>
          </w:p>
        </w:tc>
        <w:tc>
          <w:tcPr>
            <w:tcW w:w="240" w:type="dxa"/>
            <w:tcBorders>
              <w:top w:val="nil"/>
              <w:left w:val="nil"/>
              <w:bottom w:val="nil"/>
              <w:right w:val="nil"/>
            </w:tcBorders>
            <w:noWrap/>
            <w:vAlign w:val="center"/>
          </w:tcPr>
          <w:p w:rsidR="00AC67D1" w:rsidRPr="005A744F" w:rsidRDefault="00AC67D1" w:rsidP="005A744F">
            <w:pPr>
              <w:suppressAutoHyphens w:val="0"/>
              <w:jc w:val="center"/>
              <w:rPr>
                <w:rFonts w:ascii="Times New Roman" w:hAnsi="Times New Roman" w:cs="Times New Roman"/>
                <w:kern w:val="0"/>
                <w:sz w:val="20"/>
                <w:szCs w:val="20"/>
                <w:lang w:eastAsia="fr-FR"/>
              </w:rPr>
            </w:pPr>
          </w:p>
        </w:tc>
        <w:tc>
          <w:tcPr>
            <w:tcW w:w="1300" w:type="dxa"/>
            <w:tcBorders>
              <w:top w:val="nil"/>
              <w:left w:val="single" w:sz="8" w:space="0" w:color="auto"/>
              <w:bottom w:val="single" w:sz="8" w:space="0" w:color="auto"/>
              <w:right w:val="single" w:sz="8" w:space="0" w:color="auto"/>
            </w:tcBorders>
            <w:noWrap/>
            <w:vAlign w:val="center"/>
          </w:tcPr>
          <w:p w:rsidR="00AC67D1" w:rsidRPr="005A744F" w:rsidRDefault="00AC67D1" w:rsidP="005A744F">
            <w:pPr>
              <w:suppressAutoHyphens w:val="0"/>
              <w:jc w:val="center"/>
              <w:rPr>
                <w:rFonts w:ascii="Calibri" w:hAnsi="Calibri" w:cs="Calibri"/>
                <w:color w:val="000000"/>
                <w:kern w:val="0"/>
                <w:lang w:eastAsia="fr-FR"/>
              </w:rPr>
            </w:pPr>
            <w:r w:rsidRPr="005A744F">
              <w:rPr>
                <w:rFonts w:ascii="Calibri" w:hAnsi="Calibri" w:cs="Calibri"/>
                <w:color w:val="000000"/>
                <w:kern w:val="0"/>
                <w:lang w:eastAsia="fr-FR"/>
              </w:rPr>
              <w:t>435</w:t>
            </w:r>
          </w:p>
        </w:tc>
        <w:tc>
          <w:tcPr>
            <w:tcW w:w="1080" w:type="dxa"/>
            <w:tcBorders>
              <w:top w:val="nil"/>
              <w:left w:val="nil"/>
              <w:bottom w:val="nil"/>
              <w:right w:val="nil"/>
            </w:tcBorders>
            <w:noWrap/>
            <w:vAlign w:val="center"/>
          </w:tcPr>
          <w:p w:rsidR="00AC67D1" w:rsidRPr="005A744F" w:rsidRDefault="00AC67D1" w:rsidP="005A744F">
            <w:pPr>
              <w:suppressAutoHyphens w:val="0"/>
              <w:jc w:val="center"/>
              <w:rPr>
                <w:rFonts w:ascii="Calibri" w:hAnsi="Calibri" w:cs="Calibri"/>
                <w:color w:val="000000"/>
                <w:kern w:val="0"/>
                <w:lang w:eastAsia="fr-FR"/>
              </w:rPr>
            </w:pPr>
          </w:p>
        </w:tc>
      </w:tr>
    </w:tbl>
    <w:p w:rsidR="00AC67D1" w:rsidRDefault="00AC67D1" w:rsidP="006E3EB3">
      <w:pPr>
        <w:pStyle w:val="NormalWeb"/>
        <w:spacing w:before="0" w:beforeAutospacing="0" w:after="0"/>
        <w:jc w:val="center"/>
        <w:rPr>
          <w:rFonts w:ascii="Tahoma" w:hAnsi="Tahoma" w:cs="Tahoma"/>
          <w:color w:val="000000"/>
        </w:rPr>
      </w:pPr>
    </w:p>
    <w:p w:rsidR="00AC67D1" w:rsidRDefault="00AC67D1" w:rsidP="003C7256">
      <w:pPr>
        <w:pStyle w:val="NormalWeb"/>
        <w:spacing w:before="0" w:beforeAutospacing="0" w:after="0"/>
        <w:jc w:val="both"/>
        <w:rPr>
          <w:rFonts w:ascii="Tahoma" w:hAnsi="Tahoma" w:cs="Tahoma"/>
          <w:color w:val="000000"/>
        </w:rPr>
      </w:pPr>
    </w:p>
    <w:p w:rsidR="00AC67D1" w:rsidRDefault="00AC67D1" w:rsidP="006E3EB3">
      <w:pPr>
        <w:pBdr>
          <w:top w:val="single" w:sz="4" w:space="1" w:color="auto"/>
          <w:left w:val="single" w:sz="4" w:space="4" w:color="auto"/>
          <w:bottom w:val="single" w:sz="4" w:space="1" w:color="auto"/>
          <w:right w:val="single" w:sz="4" w:space="4" w:color="auto"/>
        </w:pBdr>
        <w:shd w:val="clear" w:color="auto" w:fill="F2F2F2"/>
        <w:jc w:val="both"/>
        <w:rPr>
          <w:rFonts w:ascii="Tahoma" w:hAnsi="Tahoma" w:cs="Tahoma"/>
        </w:rPr>
      </w:pPr>
      <w:r w:rsidRPr="004F2B60">
        <w:rPr>
          <w:rFonts w:ascii="Tahoma" w:hAnsi="Tahoma" w:cs="Tahoma"/>
          <w:u w:val="single"/>
        </w:rPr>
        <w:t>Des bougés</w:t>
      </w:r>
    </w:p>
    <w:p w:rsidR="00AC67D1" w:rsidRDefault="00AC67D1" w:rsidP="006E3EB3">
      <w:pPr>
        <w:pBdr>
          <w:top w:val="single" w:sz="4" w:space="1" w:color="auto"/>
          <w:left w:val="single" w:sz="4" w:space="4" w:color="auto"/>
          <w:bottom w:val="single" w:sz="4" w:space="1" w:color="auto"/>
          <w:right w:val="single" w:sz="4" w:space="4" w:color="auto"/>
        </w:pBdr>
        <w:shd w:val="clear" w:color="auto" w:fill="F2F2F2"/>
        <w:jc w:val="both"/>
        <w:rPr>
          <w:rFonts w:ascii="Tahoma" w:hAnsi="Tahoma" w:cs="Tahoma"/>
        </w:rPr>
      </w:pPr>
      <w:r>
        <w:rPr>
          <w:rFonts w:ascii="Tahoma" w:hAnsi="Tahoma" w:cs="Tahoma"/>
        </w:rPr>
        <w:t>- 100 points d’IM sur toute la grille, contre 31 actuellement</w:t>
      </w:r>
    </w:p>
    <w:p w:rsidR="00AC67D1" w:rsidRDefault="00AC67D1" w:rsidP="006E3EB3">
      <w:pPr>
        <w:pBdr>
          <w:top w:val="single" w:sz="4" w:space="1" w:color="auto"/>
          <w:left w:val="single" w:sz="4" w:space="4" w:color="auto"/>
          <w:bottom w:val="single" w:sz="4" w:space="1" w:color="auto"/>
          <w:right w:val="single" w:sz="4" w:space="4" w:color="auto"/>
        </w:pBdr>
        <w:shd w:val="clear" w:color="auto" w:fill="F2F2F2"/>
        <w:jc w:val="both"/>
        <w:rPr>
          <w:rFonts w:ascii="Tahoma" w:hAnsi="Tahoma" w:cs="Tahoma"/>
        </w:rPr>
      </w:pPr>
      <w:r>
        <w:rPr>
          <w:rFonts w:ascii="Tahoma" w:hAnsi="Tahoma" w:cs="Tahoma"/>
        </w:rPr>
        <w:t>- 10 points d’indice supplémentaires à chaque changement d’échelon, contre 6 maximum actuellement</w:t>
      </w:r>
    </w:p>
    <w:p w:rsidR="00AC67D1" w:rsidRDefault="00AC67D1" w:rsidP="006E3EB3">
      <w:pPr>
        <w:pBdr>
          <w:top w:val="single" w:sz="4" w:space="1" w:color="auto"/>
          <w:left w:val="single" w:sz="4" w:space="4" w:color="auto"/>
          <w:bottom w:val="single" w:sz="4" w:space="1" w:color="auto"/>
          <w:right w:val="single" w:sz="4" w:space="4" w:color="auto"/>
        </w:pBdr>
        <w:shd w:val="clear" w:color="auto" w:fill="F2F2F2"/>
        <w:jc w:val="both"/>
        <w:rPr>
          <w:rFonts w:ascii="Tahoma" w:hAnsi="Tahoma" w:cs="Tahoma"/>
        </w:rPr>
      </w:pPr>
      <w:r>
        <w:rPr>
          <w:rFonts w:ascii="Tahoma" w:hAnsi="Tahoma" w:cs="Tahoma"/>
        </w:rPr>
        <w:t>- une perspective de fin de « carrière » à l’IM 435, contre l’IM 363 actuellement</w:t>
      </w:r>
    </w:p>
    <w:p w:rsidR="00AC67D1" w:rsidRDefault="00AC67D1" w:rsidP="006E3EB3">
      <w:pPr>
        <w:pBdr>
          <w:top w:val="single" w:sz="4" w:space="1" w:color="auto"/>
          <w:left w:val="single" w:sz="4" w:space="4" w:color="auto"/>
          <w:bottom w:val="single" w:sz="4" w:space="1" w:color="auto"/>
          <w:right w:val="single" w:sz="4" w:space="4" w:color="auto"/>
        </w:pBdr>
        <w:shd w:val="clear" w:color="auto" w:fill="F2F2F2"/>
        <w:jc w:val="both"/>
        <w:rPr>
          <w:rFonts w:ascii="Tahoma" w:hAnsi="Tahoma" w:cs="Tahoma"/>
        </w:rPr>
      </w:pPr>
      <w:r>
        <w:rPr>
          <w:rFonts w:ascii="Tahoma" w:hAnsi="Tahoma" w:cs="Tahoma"/>
        </w:rPr>
        <w:t>- une automaticité d’augmentation des rémunérations, contre la loterie et des règles très différentes d’une académie à une autre actuellement</w:t>
      </w:r>
    </w:p>
    <w:p w:rsidR="00AC67D1" w:rsidRDefault="00AC67D1" w:rsidP="003C7256">
      <w:pPr>
        <w:pStyle w:val="NormalWeb"/>
        <w:spacing w:before="0" w:beforeAutospacing="0" w:after="0"/>
        <w:jc w:val="both"/>
        <w:rPr>
          <w:rFonts w:ascii="Tahoma" w:hAnsi="Tahoma" w:cs="Tahoma"/>
          <w:color w:val="000000"/>
        </w:rPr>
      </w:pPr>
    </w:p>
    <w:p w:rsidR="00AC67D1" w:rsidRDefault="00AC67D1" w:rsidP="003C7256">
      <w:pPr>
        <w:pStyle w:val="NormalWeb"/>
        <w:spacing w:before="0" w:beforeAutospacing="0" w:after="0"/>
        <w:jc w:val="both"/>
        <w:rPr>
          <w:rFonts w:ascii="Tahoma" w:hAnsi="Tahoma" w:cs="Tahoma"/>
          <w:color w:val="000000"/>
        </w:rPr>
      </w:pPr>
      <w:r>
        <w:rPr>
          <w:rFonts w:ascii="Tahoma" w:hAnsi="Tahoma" w:cs="Tahoma"/>
          <w:color w:val="000000"/>
        </w:rPr>
        <w:t>Pour le SNUipp-FSU,</w:t>
      </w:r>
    </w:p>
    <w:p w:rsidR="00AC67D1" w:rsidRDefault="00AC67D1" w:rsidP="00235F1A">
      <w:pPr>
        <w:pStyle w:val="NormalWeb"/>
        <w:numPr>
          <w:ilvl w:val="0"/>
          <w:numId w:val="3"/>
        </w:numPr>
        <w:spacing w:before="0" w:beforeAutospacing="0" w:after="0"/>
        <w:jc w:val="both"/>
        <w:rPr>
          <w:rFonts w:ascii="Tahoma" w:hAnsi="Tahoma" w:cs="Tahoma"/>
          <w:color w:val="000000"/>
        </w:rPr>
      </w:pPr>
      <w:r>
        <w:rPr>
          <w:rFonts w:ascii="Tahoma" w:hAnsi="Tahoma" w:cs="Tahoma"/>
          <w:color w:val="000000"/>
        </w:rPr>
        <w:t xml:space="preserve">La mise en place d’un dispositif dérogatoire à mi-chemin entre les règles propres aux agent-es contractuel-les et celles des fonctionnaires (rémunération et avancement constituant une </w:t>
      </w:r>
      <w:r w:rsidRPr="001F0B29">
        <w:rPr>
          <w:rFonts w:ascii="Tahoma" w:hAnsi="Tahoma" w:cs="Tahoma"/>
          <w:i/>
          <w:iCs/>
          <w:color w:val="000000"/>
        </w:rPr>
        <w:t>« quasi-carrière »</w:t>
      </w:r>
      <w:r>
        <w:rPr>
          <w:rFonts w:ascii="Tahoma" w:hAnsi="Tahoma" w:cs="Tahoma"/>
          <w:color w:val="000000"/>
        </w:rPr>
        <w:t>) est une façon de contourner la création d’un corps spécifique d’AESH et de déroger au principe d’occupation des emplois permanents par des fonctionnaires ;</w:t>
      </w:r>
    </w:p>
    <w:p w:rsidR="00AC67D1" w:rsidRDefault="00AC67D1" w:rsidP="00235F1A">
      <w:pPr>
        <w:pStyle w:val="NormalWeb"/>
        <w:numPr>
          <w:ilvl w:val="0"/>
          <w:numId w:val="3"/>
        </w:numPr>
        <w:spacing w:before="0" w:beforeAutospacing="0" w:after="0"/>
        <w:jc w:val="both"/>
        <w:rPr>
          <w:rFonts w:ascii="Tahoma" w:hAnsi="Tahoma" w:cs="Tahoma"/>
          <w:color w:val="000000"/>
        </w:rPr>
      </w:pPr>
      <w:r>
        <w:rPr>
          <w:rFonts w:ascii="Tahoma" w:hAnsi="Tahoma" w:cs="Tahoma"/>
          <w:color w:val="000000"/>
        </w:rPr>
        <w:t>La reconnaissance de l’hétérogénéité des situations des AESH, à la fois recruté-es par les DSDEN/rectorats (titre 2) et par les EPLE (hors titre 2), ne se traduit pas par le basculement de tous les AESH sur budget de l’État, comme le préconise la Cour des comptes ;</w:t>
      </w:r>
    </w:p>
    <w:p w:rsidR="00AC67D1" w:rsidRDefault="00AC67D1" w:rsidP="007C310C">
      <w:pPr>
        <w:pStyle w:val="NormalWeb"/>
        <w:numPr>
          <w:ilvl w:val="0"/>
          <w:numId w:val="3"/>
        </w:numPr>
        <w:spacing w:before="0" w:beforeAutospacing="0" w:after="0"/>
        <w:jc w:val="both"/>
        <w:rPr>
          <w:rFonts w:ascii="Tahoma" w:hAnsi="Tahoma" w:cs="Tahoma"/>
          <w:color w:val="000000"/>
        </w:rPr>
      </w:pPr>
      <w:r>
        <w:rPr>
          <w:rFonts w:ascii="Tahoma" w:hAnsi="Tahoma" w:cs="Tahoma"/>
          <w:color w:val="000000"/>
        </w:rPr>
        <w:t>L’élévation des indices de référence n’est pas suffisante, notamment par rapport à la revendication d’une grille de catégorie B. Les gains sur la fiche de salaire iront d’1 point d’indice en début de grille à 72 points en fin de grille. La proposition du ministère sur le premier échelon ne réglera pas en l’état les problématiques liées aux revalorisations annuelles du SMIC et risque d’entraîner des effets de tassement à très court terme ;</w:t>
      </w:r>
    </w:p>
    <w:p w:rsidR="00AC67D1" w:rsidRDefault="00AC67D1" w:rsidP="007C310C">
      <w:pPr>
        <w:pStyle w:val="NormalWeb"/>
        <w:numPr>
          <w:ilvl w:val="0"/>
          <w:numId w:val="3"/>
        </w:numPr>
        <w:spacing w:before="0" w:beforeAutospacing="0" w:after="0"/>
        <w:jc w:val="both"/>
        <w:rPr>
          <w:rFonts w:ascii="Tahoma" w:hAnsi="Tahoma" w:cs="Tahoma"/>
          <w:color w:val="000000"/>
        </w:rPr>
      </w:pPr>
      <w:r>
        <w:rPr>
          <w:rFonts w:ascii="Tahoma" w:hAnsi="Tahoma" w:cs="Tahoma"/>
          <w:color w:val="000000"/>
        </w:rPr>
        <w:t>La revalorisation annoncée va finalement se traduire par le maintien de l’existant pour une grande part des AESH (passage de l’IM 334 à l’IM 335). Le SNUipp-FSU a proposé de faire débuter la grille a minima à l’indice du deuxième échelon ;</w:t>
      </w:r>
    </w:p>
    <w:p w:rsidR="00AC67D1" w:rsidRPr="007C310C" w:rsidRDefault="00AC67D1" w:rsidP="007C310C">
      <w:pPr>
        <w:pStyle w:val="NormalWeb"/>
        <w:numPr>
          <w:ilvl w:val="0"/>
          <w:numId w:val="3"/>
        </w:numPr>
        <w:spacing w:before="0" w:beforeAutospacing="0" w:after="0"/>
        <w:jc w:val="both"/>
        <w:rPr>
          <w:rFonts w:ascii="Tahoma" w:hAnsi="Tahoma" w:cs="Tahoma"/>
          <w:color w:val="000000"/>
        </w:rPr>
      </w:pPr>
      <w:r>
        <w:rPr>
          <w:rFonts w:ascii="Tahoma" w:hAnsi="Tahoma" w:cs="Tahoma"/>
          <w:color w:val="000000"/>
        </w:rPr>
        <w:t>La proposition de reclassement n’est pas acceptable en l’état car elle va se faire au détriment des AESH en CDI qui ont de l’ancienneté. Le SNUipp-FSU a proposé de conserver l’ancienneté acquise pour bénéficier le cas échéant d’un reclassement à l’échelon supérieur ;</w:t>
      </w:r>
    </w:p>
    <w:p w:rsidR="00AC67D1" w:rsidRDefault="00AC67D1" w:rsidP="00235F1A">
      <w:pPr>
        <w:pStyle w:val="NormalWeb"/>
        <w:numPr>
          <w:ilvl w:val="0"/>
          <w:numId w:val="3"/>
        </w:numPr>
        <w:spacing w:before="0" w:beforeAutospacing="0" w:after="0"/>
        <w:jc w:val="both"/>
        <w:rPr>
          <w:rFonts w:ascii="Tahoma" w:hAnsi="Tahoma" w:cs="Tahoma"/>
          <w:color w:val="000000"/>
        </w:rPr>
      </w:pPr>
      <w:r>
        <w:rPr>
          <w:rFonts w:ascii="Tahoma" w:hAnsi="Tahoma" w:cs="Tahoma"/>
          <w:color w:val="000000"/>
        </w:rPr>
        <w:t>Les discussions sur le versement de l’indemnité REP/REP+ sont au point mort. Le SNUipp-FSU a proposé de réviser la liste des bénéficiaires pour intégrer les AESH exerçant dans les écoles et établissements situés en éducation prioritaire.</w:t>
      </w:r>
    </w:p>
    <w:p w:rsidR="00AC67D1" w:rsidRDefault="00AC67D1" w:rsidP="00235F1A">
      <w:pPr>
        <w:pStyle w:val="NormalWeb"/>
        <w:numPr>
          <w:ilvl w:val="0"/>
          <w:numId w:val="3"/>
        </w:numPr>
        <w:spacing w:before="0" w:beforeAutospacing="0" w:after="0"/>
        <w:jc w:val="both"/>
        <w:rPr>
          <w:rFonts w:ascii="Tahoma" w:hAnsi="Tahoma" w:cs="Tahoma"/>
          <w:color w:val="000000"/>
        </w:rPr>
      </w:pPr>
      <w:r>
        <w:rPr>
          <w:rFonts w:ascii="Tahoma" w:hAnsi="Tahoma" w:cs="Tahoma"/>
          <w:color w:val="000000"/>
        </w:rPr>
        <w:t>Lors du rendez-vous salarial du 6 juillet, la ministre de la FP a annoncé une revalorisation des grades les moins élevés de la catégorie C dans les mois à venir. A ce stade la proposition de revalorisation des AESH élude cette perspective…</w:t>
      </w:r>
    </w:p>
    <w:p w:rsidR="00AC67D1" w:rsidRDefault="00AC67D1" w:rsidP="00B37EE1">
      <w:pPr>
        <w:pStyle w:val="NormalWeb"/>
        <w:spacing w:before="0" w:beforeAutospacing="0" w:after="0"/>
        <w:ind w:left="360"/>
        <w:jc w:val="both"/>
        <w:rPr>
          <w:rFonts w:ascii="Tahoma" w:hAnsi="Tahoma" w:cs="Tahoma"/>
          <w:color w:val="000000"/>
        </w:rPr>
      </w:pPr>
    </w:p>
    <w:p w:rsidR="00AC67D1" w:rsidRDefault="00AC67D1" w:rsidP="007C310C">
      <w:pPr>
        <w:pStyle w:val="NormalWeb"/>
        <w:spacing w:before="0" w:beforeAutospacing="0" w:after="0"/>
        <w:jc w:val="both"/>
        <w:rPr>
          <w:rFonts w:ascii="Tahoma" w:hAnsi="Tahoma" w:cs="Tahoma"/>
          <w:color w:val="000000"/>
        </w:rPr>
      </w:pPr>
    </w:p>
    <w:p w:rsidR="00AC67D1" w:rsidRPr="003C7256" w:rsidRDefault="00AC67D1" w:rsidP="007C310C">
      <w:pPr>
        <w:pStyle w:val="NormalWeb"/>
        <w:numPr>
          <w:ilvl w:val="0"/>
          <w:numId w:val="2"/>
        </w:numPr>
        <w:spacing w:before="0" w:beforeAutospacing="0" w:after="0"/>
        <w:jc w:val="both"/>
        <w:rPr>
          <w:rFonts w:ascii="Tahoma" w:hAnsi="Tahoma" w:cs="Tahoma"/>
          <w:b/>
          <w:bCs/>
          <w:color w:val="000000"/>
        </w:rPr>
      </w:pPr>
      <w:r w:rsidRPr="003C7256">
        <w:rPr>
          <w:rFonts w:ascii="Tahoma" w:hAnsi="Tahoma" w:cs="Tahoma"/>
          <w:b/>
          <w:bCs/>
          <w:color w:val="000000"/>
        </w:rPr>
        <w:t xml:space="preserve">Sur </w:t>
      </w:r>
      <w:r>
        <w:rPr>
          <w:rFonts w:ascii="Tahoma" w:hAnsi="Tahoma" w:cs="Tahoma"/>
          <w:b/>
          <w:bCs/>
          <w:color w:val="000000"/>
        </w:rPr>
        <w:t>le temps de travail</w:t>
      </w:r>
    </w:p>
    <w:p w:rsidR="00AC67D1" w:rsidRDefault="00AC67D1" w:rsidP="006C018A">
      <w:pPr>
        <w:pStyle w:val="NormalWeb"/>
        <w:spacing w:before="0" w:beforeAutospacing="0" w:after="0"/>
        <w:ind w:left="720"/>
        <w:jc w:val="both"/>
        <w:rPr>
          <w:rFonts w:ascii="Tahoma" w:hAnsi="Tahoma" w:cs="Tahoma"/>
          <w:color w:val="000000"/>
        </w:rPr>
      </w:pPr>
    </w:p>
    <w:p w:rsidR="00AC67D1" w:rsidRDefault="00AC67D1" w:rsidP="006C018A">
      <w:pPr>
        <w:pStyle w:val="NormalWeb"/>
        <w:spacing w:before="0" w:beforeAutospacing="0" w:after="0"/>
        <w:jc w:val="both"/>
        <w:rPr>
          <w:rFonts w:ascii="Tahoma" w:hAnsi="Tahoma" w:cs="Tahoma"/>
          <w:color w:val="000000"/>
        </w:rPr>
      </w:pPr>
      <w:r>
        <w:rPr>
          <w:rFonts w:ascii="Tahoma" w:hAnsi="Tahoma" w:cs="Tahoma"/>
          <w:color w:val="000000"/>
        </w:rPr>
        <w:t>Le ministère dit vouloir rechercher des modalités permettant aux AESH d’exercer à temps complet, tout en réfléchissant à leur proposer des débouchés professionnels. La réalité se heurte à la spécificité de la mission et à la durée des semaines scolaires.</w:t>
      </w:r>
    </w:p>
    <w:p w:rsidR="00AC67D1" w:rsidRDefault="00AC67D1" w:rsidP="006C018A">
      <w:pPr>
        <w:pStyle w:val="NormalWeb"/>
        <w:spacing w:before="0" w:beforeAutospacing="0" w:after="0"/>
        <w:jc w:val="both"/>
        <w:rPr>
          <w:rFonts w:ascii="Tahoma" w:hAnsi="Tahoma" w:cs="Tahoma"/>
          <w:color w:val="000000"/>
        </w:rPr>
      </w:pPr>
      <w:r>
        <w:rPr>
          <w:rFonts w:ascii="Tahoma" w:hAnsi="Tahoma" w:cs="Tahoma"/>
          <w:color w:val="000000"/>
        </w:rPr>
        <w:t xml:space="preserve">Des pistes sont évoquées, notamment sur l’extension de la possibilité d’intervention dans le champ jeunesse et sport (intervention dans les accueils collectifs de mineurs en complément de leur activité principale) ou le développement des activités complémentaires et périscolaires mises en place par les collectivités territoriales (cantine, activités périscolaires…). </w:t>
      </w:r>
    </w:p>
    <w:p w:rsidR="00AC67D1" w:rsidRDefault="00AC67D1" w:rsidP="006C018A">
      <w:pPr>
        <w:pStyle w:val="NormalWeb"/>
        <w:spacing w:before="0" w:beforeAutospacing="0" w:after="0"/>
        <w:jc w:val="both"/>
        <w:rPr>
          <w:rFonts w:ascii="Tahoma" w:hAnsi="Tahoma" w:cs="Tahoma"/>
          <w:color w:val="000000"/>
        </w:rPr>
      </w:pPr>
    </w:p>
    <w:p w:rsidR="00AC67D1" w:rsidRDefault="00AC67D1" w:rsidP="006C018A">
      <w:pPr>
        <w:pStyle w:val="NormalWeb"/>
        <w:spacing w:before="0" w:beforeAutospacing="0" w:after="0"/>
        <w:jc w:val="both"/>
        <w:rPr>
          <w:rFonts w:ascii="Tahoma" w:hAnsi="Tahoma" w:cs="Tahoma"/>
          <w:color w:val="000000"/>
        </w:rPr>
      </w:pPr>
      <w:r>
        <w:rPr>
          <w:rFonts w:ascii="Tahoma" w:hAnsi="Tahoma" w:cs="Tahoma"/>
          <w:color w:val="000000"/>
        </w:rPr>
        <w:t>Pour le SNUipp-FSU, la solution consistant à faire du multi contrats la règle n’est pas acceptable, tout comme celle qui conduirait à effectuer à terme la plus grande partie du service en dehors du champ scolaire. Cela serait opposé à la revendication de reconnaissance du métier d’AESH. De même les interventions dans le secteur privé constituent une ligne rouge. Une réflexion est à conduire sur le volume des 5 semaines en lien avec le recours croissant aux heures connexes (formations, déplacements, réunions…).</w:t>
      </w:r>
    </w:p>
    <w:p w:rsidR="00AC67D1" w:rsidRDefault="00AC67D1" w:rsidP="006C018A">
      <w:pPr>
        <w:pStyle w:val="NormalWeb"/>
        <w:spacing w:before="0" w:beforeAutospacing="0" w:after="0"/>
        <w:jc w:val="both"/>
        <w:rPr>
          <w:rFonts w:ascii="Tahoma" w:hAnsi="Tahoma" w:cs="Tahoma"/>
          <w:color w:val="000000"/>
        </w:rPr>
      </w:pPr>
    </w:p>
    <w:p w:rsidR="00AC67D1" w:rsidRPr="003C7256" w:rsidRDefault="00AC67D1" w:rsidP="00103FEB">
      <w:pPr>
        <w:pStyle w:val="NormalWeb"/>
        <w:numPr>
          <w:ilvl w:val="0"/>
          <w:numId w:val="2"/>
        </w:numPr>
        <w:spacing w:before="0" w:beforeAutospacing="0" w:after="0"/>
        <w:jc w:val="both"/>
        <w:rPr>
          <w:rFonts w:ascii="Tahoma" w:hAnsi="Tahoma" w:cs="Tahoma"/>
          <w:b/>
          <w:bCs/>
          <w:color w:val="000000"/>
        </w:rPr>
      </w:pPr>
      <w:r w:rsidRPr="003C7256">
        <w:rPr>
          <w:rFonts w:ascii="Tahoma" w:hAnsi="Tahoma" w:cs="Tahoma"/>
          <w:b/>
          <w:bCs/>
          <w:color w:val="000000"/>
        </w:rPr>
        <w:t xml:space="preserve">Sur </w:t>
      </w:r>
      <w:r>
        <w:rPr>
          <w:rFonts w:ascii="Tahoma" w:hAnsi="Tahoma" w:cs="Tahoma"/>
          <w:b/>
          <w:bCs/>
          <w:color w:val="000000"/>
        </w:rPr>
        <w:t>l’accès à l’action sociale</w:t>
      </w:r>
    </w:p>
    <w:p w:rsidR="00AC67D1" w:rsidRDefault="00AC67D1" w:rsidP="00103FEB">
      <w:pPr>
        <w:pStyle w:val="NormalWeb"/>
        <w:spacing w:before="0" w:beforeAutospacing="0" w:after="0"/>
        <w:ind w:left="720"/>
        <w:jc w:val="both"/>
        <w:rPr>
          <w:rFonts w:ascii="Tahoma" w:hAnsi="Tahoma" w:cs="Tahoma"/>
          <w:color w:val="000000"/>
        </w:rPr>
      </w:pPr>
    </w:p>
    <w:p w:rsidR="00AC67D1" w:rsidRDefault="00AC67D1" w:rsidP="00103FEB">
      <w:pPr>
        <w:pStyle w:val="NormalWeb"/>
        <w:spacing w:before="0" w:beforeAutospacing="0" w:after="0"/>
        <w:jc w:val="both"/>
        <w:rPr>
          <w:rFonts w:ascii="Tahoma" w:hAnsi="Tahoma" w:cs="Tahoma"/>
          <w:color w:val="000000"/>
        </w:rPr>
      </w:pPr>
      <w:r>
        <w:rPr>
          <w:rFonts w:ascii="Tahoma" w:hAnsi="Tahoma" w:cs="Tahoma"/>
          <w:color w:val="000000"/>
        </w:rPr>
        <w:t>En complément de la réflexion sur les rémunérations et le temps de travail, le ministère propose d’élargir les prestations d’action sociale, notamment aux AESH recruté-es et rémunéré-es par les EPLE. Après l’accès au CESU garde d’enfants et aux actions des SRIAS, il envisage d’élargir à de nouveaux droits, tout en mélangeant les dispositifs de l’action sociale (aide aux parents d’enfants handicapés, aides aux vacances) avec ceux qui relèvent du champ de la prévention (dispositif de téléconsultation médicale, accès aux centres médicaux et dentaires de la MGEN, protection sociale complémentaire).</w:t>
      </w:r>
    </w:p>
    <w:p w:rsidR="00AC67D1" w:rsidRDefault="00AC67D1" w:rsidP="00103FEB">
      <w:pPr>
        <w:pStyle w:val="NormalWeb"/>
        <w:spacing w:before="0" w:beforeAutospacing="0" w:after="0"/>
        <w:jc w:val="both"/>
        <w:rPr>
          <w:rFonts w:ascii="Tahoma" w:hAnsi="Tahoma" w:cs="Tahoma"/>
          <w:color w:val="000000"/>
        </w:rPr>
      </w:pPr>
    </w:p>
    <w:p w:rsidR="00AC67D1" w:rsidRPr="003C7256" w:rsidRDefault="00AC67D1" w:rsidP="00756468">
      <w:pPr>
        <w:pStyle w:val="NormalWeb"/>
        <w:spacing w:before="0" w:beforeAutospacing="0" w:after="0"/>
        <w:jc w:val="both"/>
        <w:rPr>
          <w:rFonts w:ascii="Tahoma" w:hAnsi="Tahoma" w:cs="Tahoma"/>
          <w:b/>
          <w:bCs/>
          <w:color w:val="000000"/>
        </w:rPr>
      </w:pPr>
      <w:r>
        <w:rPr>
          <w:rFonts w:ascii="Tahoma" w:hAnsi="Tahoma" w:cs="Tahoma"/>
          <w:b/>
          <w:bCs/>
          <w:color w:val="000000"/>
        </w:rPr>
        <w:t>Encore beaucoup à faire…</w:t>
      </w:r>
    </w:p>
    <w:p w:rsidR="00AC67D1" w:rsidRDefault="00AC67D1" w:rsidP="00756468">
      <w:pPr>
        <w:pStyle w:val="NormalWeb"/>
        <w:spacing w:before="0" w:beforeAutospacing="0" w:after="0"/>
        <w:jc w:val="both"/>
        <w:rPr>
          <w:rFonts w:ascii="Tahoma" w:hAnsi="Tahoma" w:cs="Tahoma"/>
          <w:color w:val="000000"/>
        </w:rPr>
      </w:pPr>
    </w:p>
    <w:p w:rsidR="00AC67D1" w:rsidRDefault="00AC67D1" w:rsidP="00756468">
      <w:pPr>
        <w:pStyle w:val="NormalWeb"/>
        <w:spacing w:before="0" w:beforeAutospacing="0" w:after="0"/>
        <w:jc w:val="both"/>
        <w:rPr>
          <w:rFonts w:ascii="Tahoma" w:hAnsi="Tahoma" w:cs="Tahoma"/>
          <w:color w:val="000000"/>
        </w:rPr>
      </w:pPr>
      <w:r>
        <w:rPr>
          <w:rFonts w:ascii="Tahoma" w:hAnsi="Tahoma" w:cs="Tahoma"/>
          <w:color w:val="000000"/>
        </w:rPr>
        <w:t>Au-delà des effets d’annonces pour 2022, le ministère n’engage aucun plan sur la durée visant à améliorer durablement et significativement les conditions d’emploi des AESH. A aucun moment il n’a été question de recruter massivement des AESH pour faire face aux besoins croissants d’aide humaine, ni de remettre en question la logique de mutualisation des moyens. Quant aux conditions de travail que les PIAL ont largement contribué à dégrader, ce n’est pas le problème premier du ministère.</w:t>
      </w:r>
    </w:p>
    <w:p w:rsidR="00AC67D1" w:rsidRDefault="00AC67D1" w:rsidP="00756468">
      <w:pPr>
        <w:pStyle w:val="NormalWeb"/>
        <w:spacing w:before="0" w:beforeAutospacing="0" w:after="0"/>
        <w:jc w:val="both"/>
        <w:rPr>
          <w:rFonts w:ascii="Tahoma" w:hAnsi="Tahoma" w:cs="Tahoma"/>
          <w:color w:val="000000"/>
        </w:rPr>
      </w:pPr>
    </w:p>
    <w:p w:rsidR="00AC67D1" w:rsidRDefault="00AC67D1" w:rsidP="00756468">
      <w:pPr>
        <w:pStyle w:val="NormalWeb"/>
        <w:spacing w:before="0" w:beforeAutospacing="0" w:after="0"/>
        <w:jc w:val="both"/>
        <w:rPr>
          <w:rFonts w:ascii="Tahoma" w:hAnsi="Tahoma" w:cs="Tahoma"/>
          <w:color w:val="000000"/>
        </w:rPr>
      </w:pPr>
      <w:r>
        <w:rPr>
          <w:rFonts w:ascii="Tahoma" w:hAnsi="Tahoma" w:cs="Tahoma"/>
          <w:color w:val="000000"/>
        </w:rPr>
        <w:t>Pour toutes ces raisons, l’intersyndicale nationale réunie le 22 juin juge nécessaire de poursuivre et amplifier la mobilisation pour imposer la satisfaction des AESH. Elle se réunira fin août pour échanger sur les modalités d’action et pour construire les suites de la mobilisation avec les personnels. Vous trouverez joint à cette circulaire le communiqué commun publié le 1</w:t>
      </w:r>
      <w:r w:rsidRPr="004F097F">
        <w:rPr>
          <w:rFonts w:ascii="Tahoma" w:hAnsi="Tahoma" w:cs="Tahoma"/>
          <w:color w:val="000000"/>
          <w:vertAlign w:val="superscript"/>
        </w:rPr>
        <w:t>er</w:t>
      </w:r>
      <w:r>
        <w:rPr>
          <w:rFonts w:ascii="Tahoma" w:hAnsi="Tahoma" w:cs="Tahoma"/>
          <w:color w:val="000000"/>
        </w:rPr>
        <w:t xml:space="preserve"> juillet.</w:t>
      </w:r>
    </w:p>
    <w:p w:rsidR="00AC67D1" w:rsidRPr="00DC3372" w:rsidRDefault="00AC67D1" w:rsidP="008E1DCC">
      <w:pPr>
        <w:pStyle w:val="NormalWeb"/>
        <w:spacing w:before="0" w:beforeAutospacing="0" w:after="0"/>
        <w:rPr>
          <w:rFonts w:ascii="Tahoma" w:hAnsi="Tahoma" w:cs="Tahoma"/>
          <w:bCs/>
          <w:color w:val="000000"/>
        </w:rPr>
      </w:pPr>
    </w:p>
    <w:p w:rsidR="00AC67D1" w:rsidRPr="00DC3372" w:rsidRDefault="00AC67D1" w:rsidP="00020AAF">
      <w:pPr>
        <w:pStyle w:val="NormalWeb"/>
        <w:spacing w:before="0" w:beforeAutospacing="0" w:after="0"/>
        <w:jc w:val="both"/>
        <w:rPr>
          <w:rFonts w:ascii="Tahoma" w:hAnsi="Tahoma" w:cs="Tahoma"/>
          <w:b/>
          <w:color w:val="000000"/>
        </w:rPr>
      </w:pPr>
      <w:r w:rsidRPr="00DC3372">
        <w:rPr>
          <w:rFonts w:ascii="Tahoma" w:hAnsi="Tahoma" w:cs="Tahoma"/>
          <w:b/>
          <w:color w:val="000000"/>
        </w:rPr>
        <w:t>Il y a aujourd’hui une urgence à sortir de la spirale infernale de la précarité et à gagner d</w:t>
      </w:r>
      <w:r>
        <w:rPr>
          <w:rFonts w:ascii="Tahoma" w:hAnsi="Tahoma" w:cs="Tahoma"/>
          <w:b/>
          <w:color w:val="000000"/>
        </w:rPr>
        <w:t>’autres</w:t>
      </w:r>
      <w:r w:rsidRPr="00DC3372">
        <w:rPr>
          <w:rFonts w:ascii="Tahoma" w:hAnsi="Tahoma" w:cs="Tahoma"/>
          <w:b/>
          <w:color w:val="000000"/>
        </w:rPr>
        <w:t xml:space="preserve"> engagements</w:t>
      </w:r>
      <w:r>
        <w:rPr>
          <w:rFonts w:ascii="Tahoma" w:hAnsi="Tahoma" w:cs="Tahoma"/>
          <w:b/>
          <w:color w:val="000000"/>
        </w:rPr>
        <w:t xml:space="preserve">. Le SNUipp-FSU, avec la FSU, est résolu à gagner </w:t>
      </w:r>
      <w:r w:rsidRPr="00DC3372">
        <w:rPr>
          <w:rFonts w:ascii="Tahoma" w:hAnsi="Tahoma" w:cs="Tahoma"/>
          <w:b/>
          <w:color w:val="000000"/>
        </w:rPr>
        <w:t xml:space="preserve">une hausse </w:t>
      </w:r>
      <w:r>
        <w:rPr>
          <w:rFonts w:ascii="Tahoma" w:hAnsi="Tahoma" w:cs="Tahoma"/>
          <w:b/>
          <w:color w:val="000000"/>
        </w:rPr>
        <w:t xml:space="preserve">significative </w:t>
      </w:r>
      <w:r w:rsidRPr="00DC3372">
        <w:rPr>
          <w:rFonts w:ascii="Tahoma" w:hAnsi="Tahoma" w:cs="Tahoma"/>
          <w:b/>
          <w:color w:val="000000"/>
        </w:rPr>
        <w:t>des salaires, l’abandon des PIAL, une meilleure reconnaissance professionnelle se traduisant par un vrai métier sous statut de la Fonction publique.</w:t>
      </w:r>
    </w:p>
    <w:p w:rsidR="00AC67D1" w:rsidRPr="00C432FB" w:rsidRDefault="00AC67D1" w:rsidP="00362507">
      <w:pPr>
        <w:jc w:val="right"/>
        <w:rPr>
          <w:rFonts w:ascii="Tahoma" w:hAnsi="Tahoma" w:cs="Tahoma"/>
          <w:b/>
          <w:i/>
          <w:sz w:val="28"/>
        </w:rPr>
      </w:pPr>
    </w:p>
    <w:sectPr w:rsidR="00AC67D1" w:rsidRPr="00C432FB" w:rsidSect="00FB599C">
      <w:pgSz w:w="11900" w:h="16840"/>
      <w:pgMar w:top="1417" w:right="1417" w:bottom="1417"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537">
    <w:altName w:val="MS Gothic"/>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3C19CE"/>
    <w:multiLevelType w:val="hybridMultilevel"/>
    <w:tmpl w:val="2A8831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5760759"/>
    <w:multiLevelType w:val="hybridMultilevel"/>
    <w:tmpl w:val="2B803D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5BB6754"/>
    <w:multiLevelType w:val="hybridMultilevel"/>
    <w:tmpl w:val="53E28156"/>
    <w:lvl w:ilvl="0" w:tplc="63682052">
      <w:numFmt w:val="bullet"/>
      <w:lvlText w:val="-"/>
      <w:lvlJc w:val="left"/>
      <w:pPr>
        <w:ind w:left="720" w:hanging="360"/>
      </w:pPr>
      <w:rPr>
        <w:rFonts w:ascii="Tahoma" w:eastAsia="Times New Roman" w:hAnsi="Tahom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1DCC"/>
    <w:rsid w:val="000015C4"/>
    <w:rsid w:val="0000779A"/>
    <w:rsid w:val="00020AAF"/>
    <w:rsid w:val="0002335A"/>
    <w:rsid w:val="000855CC"/>
    <w:rsid w:val="00103FEB"/>
    <w:rsid w:val="00113C3C"/>
    <w:rsid w:val="00185828"/>
    <w:rsid w:val="001E2337"/>
    <w:rsid w:val="001F0B29"/>
    <w:rsid w:val="00235F1A"/>
    <w:rsid w:val="002B1790"/>
    <w:rsid w:val="003251C3"/>
    <w:rsid w:val="00341F3C"/>
    <w:rsid w:val="00354E3A"/>
    <w:rsid w:val="00362507"/>
    <w:rsid w:val="003A3557"/>
    <w:rsid w:val="003C7256"/>
    <w:rsid w:val="0040513E"/>
    <w:rsid w:val="00424AFA"/>
    <w:rsid w:val="00430143"/>
    <w:rsid w:val="00472C24"/>
    <w:rsid w:val="004D6CFB"/>
    <w:rsid w:val="004F097F"/>
    <w:rsid w:val="004F2B60"/>
    <w:rsid w:val="004F590B"/>
    <w:rsid w:val="00505891"/>
    <w:rsid w:val="00525C86"/>
    <w:rsid w:val="005A744F"/>
    <w:rsid w:val="005F7B94"/>
    <w:rsid w:val="006305C1"/>
    <w:rsid w:val="006C018A"/>
    <w:rsid w:val="006E3EB3"/>
    <w:rsid w:val="006F5AF4"/>
    <w:rsid w:val="00747160"/>
    <w:rsid w:val="00756468"/>
    <w:rsid w:val="0077520F"/>
    <w:rsid w:val="00794B43"/>
    <w:rsid w:val="00796066"/>
    <w:rsid w:val="007C310C"/>
    <w:rsid w:val="008341C0"/>
    <w:rsid w:val="008E1DCC"/>
    <w:rsid w:val="00932C79"/>
    <w:rsid w:val="009E18AA"/>
    <w:rsid w:val="00A23611"/>
    <w:rsid w:val="00A5439E"/>
    <w:rsid w:val="00AC67D1"/>
    <w:rsid w:val="00B00879"/>
    <w:rsid w:val="00B37EE1"/>
    <w:rsid w:val="00B864AE"/>
    <w:rsid w:val="00C13865"/>
    <w:rsid w:val="00C432FB"/>
    <w:rsid w:val="00C60726"/>
    <w:rsid w:val="00C74F71"/>
    <w:rsid w:val="00D92626"/>
    <w:rsid w:val="00DC3372"/>
    <w:rsid w:val="00E036FC"/>
    <w:rsid w:val="00E80918"/>
    <w:rsid w:val="00F325F1"/>
    <w:rsid w:val="00FB599C"/>
    <w:rsid w:val="00FC2EE2"/>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DCC"/>
    <w:pPr>
      <w:suppressAutoHyphens/>
    </w:pPr>
    <w:rPr>
      <w:rFonts w:ascii="Cambria" w:eastAsia="Arial Unicode MS" w:hAnsi="Cambria" w:cs="font537"/>
      <w:kern w:val="1"/>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1DCC"/>
    <w:pPr>
      <w:suppressAutoHyphens w:val="0"/>
      <w:spacing w:before="100" w:beforeAutospacing="1" w:after="119"/>
    </w:pPr>
    <w:rPr>
      <w:rFonts w:ascii="Times New Roman" w:eastAsia="Times New Roman" w:hAnsi="Times New Roman" w:cs="Times New Roman"/>
      <w:kern w:val="0"/>
      <w:lang w:eastAsia="fr-FR"/>
    </w:rPr>
  </w:style>
  <w:style w:type="character" w:styleId="Hyperlink">
    <w:name w:val="Hyperlink"/>
    <w:basedOn w:val="DefaultParagraphFont"/>
    <w:uiPriority w:val="99"/>
    <w:rsid w:val="00FC2EE2"/>
    <w:rPr>
      <w:rFonts w:cs="Times New Roman"/>
      <w:color w:val="0563C1"/>
      <w:u w:val="single"/>
    </w:rPr>
  </w:style>
  <w:style w:type="character" w:customStyle="1" w:styleId="Mentionnonrsolue1">
    <w:name w:val="Mention non résolue1"/>
    <w:basedOn w:val="DefaultParagraphFont"/>
    <w:uiPriority w:val="99"/>
    <w:semiHidden/>
    <w:rsid w:val="00FC2EE2"/>
    <w:rPr>
      <w:rFonts w:cs="Times New Roman"/>
      <w:color w:val="605E5C"/>
      <w:shd w:val="clear" w:color="auto" w:fill="E1DFDD"/>
    </w:rPr>
  </w:style>
  <w:style w:type="paragraph" w:styleId="BalloonText">
    <w:name w:val="Balloon Text"/>
    <w:basedOn w:val="Normal"/>
    <w:link w:val="BalloonTextChar"/>
    <w:uiPriority w:val="99"/>
    <w:semiHidden/>
    <w:rsid w:val="00B008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0879"/>
    <w:rPr>
      <w:rFonts w:ascii="Tahoma" w:eastAsia="Arial Unicode MS" w:hAnsi="Tahoma" w:cs="Tahoma"/>
      <w:kern w:val="1"/>
      <w:sz w:val="16"/>
      <w:szCs w:val="16"/>
      <w:lang w:eastAsia="ar-SA" w:bidi="ar-SA"/>
    </w:rPr>
  </w:style>
</w:styles>
</file>

<file path=word/webSettings.xml><?xml version="1.0" encoding="utf-8"?>
<w:webSettings xmlns:r="http://schemas.openxmlformats.org/officeDocument/2006/relationships" xmlns:w="http://schemas.openxmlformats.org/wordprocessingml/2006/main">
  <w:divs>
    <w:div w:id="1779137654">
      <w:marLeft w:val="0"/>
      <w:marRight w:val="0"/>
      <w:marTop w:val="0"/>
      <w:marBottom w:val="0"/>
      <w:divBdr>
        <w:top w:val="none" w:sz="0" w:space="0" w:color="auto"/>
        <w:left w:val="none" w:sz="0" w:space="0" w:color="auto"/>
        <w:bottom w:val="none" w:sz="0" w:space="0" w:color="auto"/>
        <w:right w:val="none" w:sz="0" w:space="0" w:color="auto"/>
      </w:divBdr>
    </w:div>
    <w:div w:id="1779137656">
      <w:marLeft w:val="0"/>
      <w:marRight w:val="0"/>
      <w:marTop w:val="0"/>
      <w:marBottom w:val="0"/>
      <w:divBdr>
        <w:top w:val="none" w:sz="0" w:space="0" w:color="auto"/>
        <w:left w:val="none" w:sz="0" w:space="0" w:color="auto"/>
        <w:bottom w:val="none" w:sz="0" w:space="0" w:color="auto"/>
        <w:right w:val="none" w:sz="0" w:space="0" w:color="auto"/>
      </w:divBdr>
      <w:divsChild>
        <w:div w:id="1779137643">
          <w:marLeft w:val="0"/>
          <w:marRight w:val="0"/>
          <w:marTop w:val="0"/>
          <w:marBottom w:val="0"/>
          <w:divBdr>
            <w:top w:val="none" w:sz="0" w:space="0" w:color="auto"/>
            <w:left w:val="none" w:sz="0" w:space="0" w:color="auto"/>
            <w:bottom w:val="none" w:sz="0" w:space="0" w:color="auto"/>
            <w:right w:val="none" w:sz="0" w:space="0" w:color="auto"/>
          </w:divBdr>
        </w:div>
        <w:div w:id="1779137644">
          <w:marLeft w:val="0"/>
          <w:marRight w:val="0"/>
          <w:marTop w:val="0"/>
          <w:marBottom w:val="0"/>
          <w:divBdr>
            <w:top w:val="none" w:sz="0" w:space="0" w:color="auto"/>
            <w:left w:val="none" w:sz="0" w:space="0" w:color="auto"/>
            <w:bottom w:val="none" w:sz="0" w:space="0" w:color="auto"/>
            <w:right w:val="none" w:sz="0" w:space="0" w:color="auto"/>
          </w:divBdr>
        </w:div>
        <w:div w:id="1779137649">
          <w:marLeft w:val="0"/>
          <w:marRight w:val="0"/>
          <w:marTop w:val="0"/>
          <w:marBottom w:val="0"/>
          <w:divBdr>
            <w:top w:val="none" w:sz="0" w:space="0" w:color="auto"/>
            <w:left w:val="none" w:sz="0" w:space="0" w:color="auto"/>
            <w:bottom w:val="none" w:sz="0" w:space="0" w:color="auto"/>
            <w:right w:val="none" w:sz="0" w:space="0" w:color="auto"/>
          </w:divBdr>
        </w:div>
        <w:div w:id="1779137652">
          <w:marLeft w:val="0"/>
          <w:marRight w:val="0"/>
          <w:marTop w:val="0"/>
          <w:marBottom w:val="0"/>
          <w:divBdr>
            <w:top w:val="none" w:sz="0" w:space="0" w:color="auto"/>
            <w:left w:val="none" w:sz="0" w:space="0" w:color="auto"/>
            <w:bottom w:val="none" w:sz="0" w:space="0" w:color="auto"/>
            <w:right w:val="none" w:sz="0" w:space="0" w:color="auto"/>
          </w:divBdr>
        </w:div>
        <w:div w:id="1779137653">
          <w:marLeft w:val="0"/>
          <w:marRight w:val="0"/>
          <w:marTop w:val="0"/>
          <w:marBottom w:val="0"/>
          <w:divBdr>
            <w:top w:val="none" w:sz="0" w:space="0" w:color="auto"/>
            <w:left w:val="none" w:sz="0" w:space="0" w:color="auto"/>
            <w:bottom w:val="none" w:sz="0" w:space="0" w:color="auto"/>
            <w:right w:val="none" w:sz="0" w:space="0" w:color="auto"/>
          </w:divBdr>
        </w:div>
        <w:div w:id="1779137655">
          <w:marLeft w:val="0"/>
          <w:marRight w:val="0"/>
          <w:marTop w:val="0"/>
          <w:marBottom w:val="0"/>
          <w:divBdr>
            <w:top w:val="none" w:sz="0" w:space="0" w:color="auto"/>
            <w:left w:val="none" w:sz="0" w:space="0" w:color="auto"/>
            <w:bottom w:val="none" w:sz="0" w:space="0" w:color="auto"/>
            <w:right w:val="none" w:sz="0" w:space="0" w:color="auto"/>
          </w:divBdr>
        </w:div>
        <w:div w:id="1779137657">
          <w:marLeft w:val="0"/>
          <w:marRight w:val="0"/>
          <w:marTop w:val="0"/>
          <w:marBottom w:val="0"/>
          <w:divBdr>
            <w:top w:val="none" w:sz="0" w:space="0" w:color="auto"/>
            <w:left w:val="none" w:sz="0" w:space="0" w:color="auto"/>
            <w:bottom w:val="none" w:sz="0" w:space="0" w:color="auto"/>
            <w:right w:val="none" w:sz="0" w:space="0" w:color="auto"/>
          </w:divBdr>
        </w:div>
        <w:div w:id="1779137658">
          <w:marLeft w:val="0"/>
          <w:marRight w:val="0"/>
          <w:marTop w:val="0"/>
          <w:marBottom w:val="0"/>
          <w:divBdr>
            <w:top w:val="none" w:sz="0" w:space="0" w:color="auto"/>
            <w:left w:val="none" w:sz="0" w:space="0" w:color="auto"/>
            <w:bottom w:val="none" w:sz="0" w:space="0" w:color="auto"/>
            <w:right w:val="none" w:sz="0" w:space="0" w:color="auto"/>
          </w:divBdr>
        </w:div>
        <w:div w:id="1779137660">
          <w:marLeft w:val="0"/>
          <w:marRight w:val="0"/>
          <w:marTop w:val="0"/>
          <w:marBottom w:val="0"/>
          <w:divBdr>
            <w:top w:val="none" w:sz="0" w:space="0" w:color="auto"/>
            <w:left w:val="none" w:sz="0" w:space="0" w:color="auto"/>
            <w:bottom w:val="none" w:sz="0" w:space="0" w:color="auto"/>
            <w:right w:val="none" w:sz="0" w:space="0" w:color="auto"/>
          </w:divBdr>
        </w:div>
        <w:div w:id="1779137661">
          <w:marLeft w:val="0"/>
          <w:marRight w:val="0"/>
          <w:marTop w:val="0"/>
          <w:marBottom w:val="0"/>
          <w:divBdr>
            <w:top w:val="none" w:sz="0" w:space="0" w:color="auto"/>
            <w:left w:val="none" w:sz="0" w:space="0" w:color="auto"/>
            <w:bottom w:val="none" w:sz="0" w:space="0" w:color="auto"/>
            <w:right w:val="none" w:sz="0" w:space="0" w:color="auto"/>
          </w:divBdr>
        </w:div>
        <w:div w:id="1779137662">
          <w:marLeft w:val="0"/>
          <w:marRight w:val="0"/>
          <w:marTop w:val="0"/>
          <w:marBottom w:val="0"/>
          <w:divBdr>
            <w:top w:val="none" w:sz="0" w:space="0" w:color="auto"/>
            <w:left w:val="none" w:sz="0" w:space="0" w:color="auto"/>
            <w:bottom w:val="none" w:sz="0" w:space="0" w:color="auto"/>
            <w:right w:val="none" w:sz="0" w:space="0" w:color="auto"/>
          </w:divBdr>
        </w:div>
        <w:div w:id="1779137663">
          <w:marLeft w:val="0"/>
          <w:marRight w:val="0"/>
          <w:marTop w:val="0"/>
          <w:marBottom w:val="0"/>
          <w:divBdr>
            <w:top w:val="none" w:sz="0" w:space="0" w:color="auto"/>
            <w:left w:val="none" w:sz="0" w:space="0" w:color="auto"/>
            <w:bottom w:val="none" w:sz="0" w:space="0" w:color="auto"/>
            <w:right w:val="none" w:sz="0" w:space="0" w:color="auto"/>
          </w:divBdr>
        </w:div>
        <w:div w:id="1779137664">
          <w:marLeft w:val="0"/>
          <w:marRight w:val="0"/>
          <w:marTop w:val="0"/>
          <w:marBottom w:val="0"/>
          <w:divBdr>
            <w:top w:val="none" w:sz="0" w:space="0" w:color="auto"/>
            <w:left w:val="none" w:sz="0" w:space="0" w:color="auto"/>
            <w:bottom w:val="none" w:sz="0" w:space="0" w:color="auto"/>
            <w:right w:val="none" w:sz="0" w:space="0" w:color="auto"/>
          </w:divBdr>
        </w:div>
        <w:div w:id="1779137665">
          <w:marLeft w:val="0"/>
          <w:marRight w:val="0"/>
          <w:marTop w:val="0"/>
          <w:marBottom w:val="0"/>
          <w:divBdr>
            <w:top w:val="none" w:sz="0" w:space="0" w:color="auto"/>
            <w:left w:val="none" w:sz="0" w:space="0" w:color="auto"/>
            <w:bottom w:val="none" w:sz="0" w:space="0" w:color="auto"/>
            <w:right w:val="none" w:sz="0" w:space="0" w:color="auto"/>
          </w:divBdr>
        </w:div>
        <w:div w:id="1779137666">
          <w:marLeft w:val="0"/>
          <w:marRight w:val="0"/>
          <w:marTop w:val="0"/>
          <w:marBottom w:val="0"/>
          <w:divBdr>
            <w:top w:val="none" w:sz="0" w:space="0" w:color="auto"/>
            <w:left w:val="none" w:sz="0" w:space="0" w:color="auto"/>
            <w:bottom w:val="none" w:sz="0" w:space="0" w:color="auto"/>
            <w:right w:val="none" w:sz="0" w:space="0" w:color="auto"/>
          </w:divBdr>
        </w:div>
        <w:div w:id="1779137667">
          <w:marLeft w:val="0"/>
          <w:marRight w:val="0"/>
          <w:marTop w:val="0"/>
          <w:marBottom w:val="0"/>
          <w:divBdr>
            <w:top w:val="none" w:sz="0" w:space="0" w:color="auto"/>
            <w:left w:val="none" w:sz="0" w:space="0" w:color="auto"/>
            <w:bottom w:val="none" w:sz="0" w:space="0" w:color="auto"/>
            <w:right w:val="none" w:sz="0" w:space="0" w:color="auto"/>
          </w:divBdr>
        </w:div>
        <w:div w:id="1779137668">
          <w:marLeft w:val="0"/>
          <w:marRight w:val="0"/>
          <w:marTop w:val="0"/>
          <w:marBottom w:val="0"/>
          <w:divBdr>
            <w:top w:val="none" w:sz="0" w:space="0" w:color="auto"/>
            <w:left w:val="none" w:sz="0" w:space="0" w:color="auto"/>
            <w:bottom w:val="none" w:sz="0" w:space="0" w:color="auto"/>
            <w:right w:val="none" w:sz="0" w:space="0" w:color="auto"/>
          </w:divBdr>
        </w:div>
        <w:div w:id="1779137669">
          <w:marLeft w:val="0"/>
          <w:marRight w:val="0"/>
          <w:marTop w:val="0"/>
          <w:marBottom w:val="0"/>
          <w:divBdr>
            <w:top w:val="none" w:sz="0" w:space="0" w:color="auto"/>
            <w:left w:val="none" w:sz="0" w:space="0" w:color="auto"/>
            <w:bottom w:val="none" w:sz="0" w:space="0" w:color="auto"/>
            <w:right w:val="none" w:sz="0" w:space="0" w:color="auto"/>
          </w:divBdr>
        </w:div>
        <w:div w:id="1779137670">
          <w:marLeft w:val="0"/>
          <w:marRight w:val="0"/>
          <w:marTop w:val="0"/>
          <w:marBottom w:val="0"/>
          <w:divBdr>
            <w:top w:val="none" w:sz="0" w:space="0" w:color="auto"/>
            <w:left w:val="none" w:sz="0" w:space="0" w:color="auto"/>
            <w:bottom w:val="none" w:sz="0" w:space="0" w:color="auto"/>
            <w:right w:val="none" w:sz="0" w:space="0" w:color="auto"/>
          </w:divBdr>
        </w:div>
      </w:divsChild>
    </w:div>
    <w:div w:id="1779137659">
      <w:marLeft w:val="0"/>
      <w:marRight w:val="0"/>
      <w:marTop w:val="0"/>
      <w:marBottom w:val="0"/>
      <w:divBdr>
        <w:top w:val="none" w:sz="0" w:space="0" w:color="auto"/>
        <w:left w:val="none" w:sz="0" w:space="0" w:color="auto"/>
        <w:bottom w:val="none" w:sz="0" w:space="0" w:color="auto"/>
        <w:right w:val="none" w:sz="0" w:space="0" w:color="auto"/>
      </w:divBdr>
      <w:divsChild>
        <w:div w:id="1779137645">
          <w:marLeft w:val="0"/>
          <w:marRight w:val="0"/>
          <w:marTop w:val="0"/>
          <w:marBottom w:val="0"/>
          <w:divBdr>
            <w:top w:val="none" w:sz="0" w:space="0" w:color="auto"/>
            <w:left w:val="none" w:sz="0" w:space="0" w:color="auto"/>
            <w:bottom w:val="none" w:sz="0" w:space="0" w:color="auto"/>
            <w:right w:val="none" w:sz="0" w:space="0" w:color="auto"/>
          </w:divBdr>
        </w:div>
        <w:div w:id="1779137646">
          <w:marLeft w:val="0"/>
          <w:marRight w:val="0"/>
          <w:marTop w:val="0"/>
          <w:marBottom w:val="0"/>
          <w:divBdr>
            <w:top w:val="none" w:sz="0" w:space="0" w:color="auto"/>
            <w:left w:val="none" w:sz="0" w:space="0" w:color="auto"/>
            <w:bottom w:val="none" w:sz="0" w:space="0" w:color="auto"/>
            <w:right w:val="none" w:sz="0" w:space="0" w:color="auto"/>
          </w:divBdr>
        </w:div>
        <w:div w:id="1779137647">
          <w:marLeft w:val="0"/>
          <w:marRight w:val="0"/>
          <w:marTop w:val="0"/>
          <w:marBottom w:val="0"/>
          <w:divBdr>
            <w:top w:val="none" w:sz="0" w:space="0" w:color="auto"/>
            <w:left w:val="none" w:sz="0" w:space="0" w:color="auto"/>
            <w:bottom w:val="none" w:sz="0" w:space="0" w:color="auto"/>
            <w:right w:val="none" w:sz="0" w:space="0" w:color="auto"/>
          </w:divBdr>
        </w:div>
        <w:div w:id="1779137648">
          <w:marLeft w:val="0"/>
          <w:marRight w:val="0"/>
          <w:marTop w:val="0"/>
          <w:marBottom w:val="0"/>
          <w:divBdr>
            <w:top w:val="none" w:sz="0" w:space="0" w:color="auto"/>
            <w:left w:val="none" w:sz="0" w:space="0" w:color="auto"/>
            <w:bottom w:val="none" w:sz="0" w:space="0" w:color="auto"/>
            <w:right w:val="none" w:sz="0" w:space="0" w:color="auto"/>
          </w:divBdr>
        </w:div>
        <w:div w:id="1779137650">
          <w:marLeft w:val="0"/>
          <w:marRight w:val="0"/>
          <w:marTop w:val="0"/>
          <w:marBottom w:val="0"/>
          <w:divBdr>
            <w:top w:val="none" w:sz="0" w:space="0" w:color="auto"/>
            <w:left w:val="none" w:sz="0" w:space="0" w:color="auto"/>
            <w:bottom w:val="none" w:sz="0" w:space="0" w:color="auto"/>
            <w:right w:val="none" w:sz="0" w:space="0" w:color="auto"/>
          </w:divBdr>
        </w:div>
        <w:div w:id="1779137651">
          <w:marLeft w:val="0"/>
          <w:marRight w:val="0"/>
          <w:marTop w:val="0"/>
          <w:marBottom w:val="0"/>
          <w:divBdr>
            <w:top w:val="none" w:sz="0" w:space="0" w:color="auto"/>
            <w:left w:val="none" w:sz="0" w:space="0" w:color="auto"/>
            <w:bottom w:val="none" w:sz="0" w:space="0" w:color="auto"/>
            <w:right w:val="none" w:sz="0" w:space="0" w:color="auto"/>
          </w:divBdr>
        </w:div>
        <w:div w:id="1779137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1254</Words>
  <Characters>6902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AESH : encore beaucoup à faire</dc:title>
  <dc:subject/>
  <dc:creator>marie denis</dc:creator>
  <cp:keywords/>
  <dc:description/>
  <cp:lastModifiedBy>SNUipp-FSU 38</cp:lastModifiedBy>
  <cp:revision>2</cp:revision>
  <dcterms:created xsi:type="dcterms:W3CDTF">2021-07-08T10:16:00Z</dcterms:created>
  <dcterms:modified xsi:type="dcterms:W3CDTF">2021-07-08T10:16:00Z</dcterms:modified>
</cp:coreProperties>
</file>